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1DD4E">
      <w:pPr>
        <w:pStyle w:val="13"/>
        <w:spacing w:before="0" w:after="0" w:line="360" w:lineRule="auto"/>
        <w:jc w:val="both"/>
        <w:rPr>
          <w:sz w:val="24"/>
          <w:szCs w:val="24"/>
        </w:rPr>
      </w:pPr>
      <w:r>
        <w:rPr>
          <w:sz w:val="24"/>
          <w:szCs w:val="24"/>
        </w:rPr>
        <w:t>EDITAL DE CHAMAMENTO PÚBLICO Nº 01/2026 – PNAB / SILVIANÓPOLIS-MG</w:t>
      </w:r>
    </w:p>
    <w:p w14:paraId="11F3D0DB">
      <w:pPr>
        <w:pStyle w:val="13"/>
        <w:spacing w:before="0" w:after="0" w:line="360" w:lineRule="auto"/>
        <w:jc w:val="both"/>
        <w:rPr>
          <w:sz w:val="20"/>
          <w:szCs w:val="20"/>
        </w:rPr>
      </w:pPr>
      <w:r>
        <w:rPr>
          <w:sz w:val="20"/>
          <w:szCs w:val="20"/>
        </w:rPr>
        <w:t>FOMENTO À EXECUÇÃO CULTURAL – CULTURAS TRADICIONAIS, ARTES E SABERES LOCAIS</w:t>
      </w:r>
    </w:p>
    <w:p w14:paraId="00FA1CF6">
      <w:pPr>
        <w:pStyle w:val="13"/>
        <w:spacing w:before="0" w:after="0" w:line="360" w:lineRule="auto"/>
        <w:jc w:val="both"/>
        <w:rPr>
          <w:sz w:val="22"/>
          <w:szCs w:val="22"/>
        </w:rPr>
      </w:pPr>
    </w:p>
    <w:p w14:paraId="51A01B07">
      <w:pPr>
        <w:pStyle w:val="10"/>
        <w:spacing w:before="0" w:after="0" w:line="360" w:lineRule="auto"/>
        <w:ind w:firstLine="708"/>
        <w:jc w:val="both"/>
        <w:rPr>
          <w:sz w:val="22"/>
          <w:szCs w:val="22"/>
        </w:rPr>
      </w:pPr>
      <w:r>
        <w:rPr>
          <w:sz w:val="22"/>
          <w:szCs w:val="22"/>
        </w:rPr>
        <w:t>O Município de Silvianópolis/MG, por meio da Secretaria Municipal de Cultura, torna público o presente Edital de Chamamento Público destinado à seleção de projetos culturais a serem fomentados com recursos da Política Nacional Aldir Blanc de Fomento à Cultura – PNAB.</w:t>
      </w:r>
    </w:p>
    <w:p w14:paraId="70C4CD31">
      <w:pPr>
        <w:pStyle w:val="10"/>
        <w:spacing w:before="0" w:after="0" w:line="360" w:lineRule="auto"/>
        <w:ind w:firstLine="708"/>
        <w:jc w:val="both"/>
        <w:rPr>
          <w:sz w:val="22"/>
          <w:szCs w:val="22"/>
        </w:rPr>
      </w:pPr>
      <w:r>
        <w:rPr>
          <w:sz w:val="22"/>
          <w:szCs w:val="22"/>
        </w:rPr>
        <w:t>Este edital é viabilizado com recursos do Governo Federal, repassados pelo Ministério da Cultura, com o objetivo de fortalecer, valorizar e incentivar as diversas expressões artístico-culturais do Município, contemplando iniciativas que contribuam para a promoção da cultura local, da memória, das tradições, dos saberes populares, das artes e da participação comunitária.</w:t>
      </w:r>
    </w:p>
    <w:p w14:paraId="3C5F6791">
      <w:pPr>
        <w:pStyle w:val="10"/>
        <w:spacing w:before="0" w:after="0" w:line="360" w:lineRule="auto"/>
        <w:ind w:firstLine="708"/>
        <w:jc w:val="both"/>
        <w:rPr>
          <w:sz w:val="22"/>
          <w:szCs w:val="22"/>
        </w:rPr>
      </w:pPr>
      <w:r>
        <w:rPr>
          <w:sz w:val="22"/>
          <w:szCs w:val="22"/>
        </w:rPr>
        <w:t>Nas páginas a seguir, os(as) interessados(as) encontrarão as regras, condições de participação, etapas do processo seletivo, critérios de avaliação, orientações para inscrição, habilitação, assinatura do Termo de Execução Cultural, execução, monitoramento e prestação de informações.</w:t>
      </w:r>
    </w:p>
    <w:p w14:paraId="3314F2DA">
      <w:pPr>
        <w:pStyle w:val="9"/>
        <w:spacing w:line="360" w:lineRule="auto"/>
        <w:jc w:val="both"/>
        <w:rPr>
          <w:sz w:val="22"/>
          <w:szCs w:val="22"/>
        </w:rPr>
      </w:pPr>
    </w:p>
    <w:p w14:paraId="26ABBB5E">
      <w:pPr>
        <w:pStyle w:val="9"/>
        <w:spacing w:line="360" w:lineRule="auto"/>
        <w:jc w:val="both"/>
        <w:rPr>
          <w:sz w:val="22"/>
          <w:szCs w:val="22"/>
        </w:rPr>
      </w:pPr>
      <w:r>
        <w:rPr>
          <w:sz w:val="22"/>
          <w:szCs w:val="22"/>
        </w:rPr>
        <w:t>______________________________________</w:t>
      </w:r>
    </w:p>
    <w:p w14:paraId="45B5727B">
      <w:pPr>
        <w:pStyle w:val="14"/>
        <w:spacing w:before="0" w:after="0" w:line="360" w:lineRule="auto"/>
        <w:jc w:val="both"/>
        <w:rPr>
          <w:sz w:val="22"/>
          <w:szCs w:val="22"/>
        </w:rPr>
      </w:pPr>
      <w:r>
        <w:rPr>
          <w:sz w:val="22"/>
          <w:szCs w:val="22"/>
        </w:rPr>
        <w:t>1. POLÍTICA NACIONAL ALDIR BLANC DE FOMENTO À CULTURA</w:t>
      </w:r>
    </w:p>
    <w:p w14:paraId="5DB01FC7">
      <w:pPr>
        <w:pStyle w:val="10"/>
        <w:spacing w:before="0" w:after="0" w:line="360" w:lineRule="auto"/>
        <w:jc w:val="both"/>
        <w:rPr>
          <w:sz w:val="22"/>
          <w:szCs w:val="22"/>
        </w:rPr>
      </w:pPr>
    </w:p>
    <w:p w14:paraId="5CF5B7FE">
      <w:pPr>
        <w:pStyle w:val="10"/>
        <w:spacing w:before="0" w:after="0" w:line="360" w:lineRule="auto"/>
        <w:ind w:firstLine="708"/>
        <w:jc w:val="both"/>
        <w:rPr>
          <w:sz w:val="22"/>
          <w:szCs w:val="22"/>
        </w:rPr>
      </w:pPr>
      <w:r>
        <w:rPr>
          <w:sz w:val="22"/>
          <w:szCs w:val="22"/>
        </w:rPr>
        <w:t>A Lei nº 14.399, de 8 de julho de 2022, institui a Política Nacional Aldir Blanc de Fomento à Cultura – PNAB, estruturada a partir da cooperação entre a União, os Estados, o Distrito Federal e os Municípios, em articulação com a sociedade civil, visando ao fortalecimento do setor cultural brasileiro.</w:t>
      </w:r>
    </w:p>
    <w:p w14:paraId="7998D81A">
      <w:pPr>
        <w:pStyle w:val="10"/>
        <w:spacing w:before="0" w:after="0" w:line="360" w:lineRule="auto"/>
        <w:ind w:firstLine="708"/>
        <w:jc w:val="both"/>
        <w:rPr>
          <w:sz w:val="22"/>
          <w:szCs w:val="22"/>
        </w:rPr>
      </w:pPr>
      <w:r>
        <w:rPr>
          <w:sz w:val="22"/>
          <w:szCs w:val="22"/>
        </w:rPr>
        <w:t>A PNAB fundamenta-se nos princípios da diversidade cultural, da democratização do acesso à cultura, da descentralização territorial e da universalização das políticas públicas culturais, reconhecendo a cultura como direito fundamental e vetor estratégico de desenvolvimento social e econômico.</w:t>
      </w:r>
    </w:p>
    <w:p w14:paraId="675C621B">
      <w:pPr>
        <w:pStyle w:val="9"/>
        <w:spacing w:line="360" w:lineRule="auto"/>
        <w:jc w:val="both"/>
        <w:rPr>
          <w:sz w:val="22"/>
          <w:szCs w:val="22"/>
        </w:rPr>
      </w:pPr>
      <w:r>
        <w:rPr>
          <w:sz w:val="22"/>
          <w:szCs w:val="22"/>
        </w:rPr>
        <w:tab/>
      </w:r>
      <w:r>
        <w:rPr>
          <w:sz w:val="22"/>
          <w:szCs w:val="22"/>
        </w:rPr>
        <w:t>A política tem como objetivo estruturar um sistema federativo contínuo de financiamento à cultura, mediante transferências regulares de recursos da União aos entes federativos, permitindo o planejamento, a execução e a consolidação de ações culturais em âmbito local.</w:t>
      </w:r>
    </w:p>
    <w:p w14:paraId="6FB06C5E">
      <w:pPr>
        <w:pStyle w:val="10"/>
        <w:spacing w:before="0" w:after="0" w:line="360" w:lineRule="auto"/>
        <w:ind w:firstLine="708"/>
        <w:jc w:val="both"/>
        <w:rPr>
          <w:sz w:val="22"/>
          <w:szCs w:val="22"/>
        </w:rPr>
      </w:pPr>
      <w:r>
        <w:rPr>
          <w:sz w:val="22"/>
          <w:szCs w:val="22"/>
        </w:rPr>
        <w:t>No contexto de sua implementação, as diretrizes e instrumentos da PNAB foram construídos a partir do diálogo com a sociedade civil, garantindo participação social e adequação às realidades territoriais.</w:t>
      </w:r>
    </w:p>
    <w:p w14:paraId="7A31C995">
      <w:pPr>
        <w:pStyle w:val="10"/>
        <w:spacing w:before="0" w:after="0" w:line="360" w:lineRule="auto"/>
        <w:ind w:firstLine="708"/>
        <w:jc w:val="both"/>
        <w:rPr>
          <w:sz w:val="22"/>
          <w:szCs w:val="22"/>
        </w:rPr>
      </w:pPr>
      <w:r>
        <w:rPr>
          <w:sz w:val="22"/>
          <w:szCs w:val="22"/>
        </w:rPr>
        <w:t>O presente edital destina-se ao apoio de projetos culturais apresentados por agentes culturais atuantes no Município de Silvianópolis/MG, contribuindo para o fortalecimento das manifestações culturais locais, especialmente aquelas vinculadas às culturas tradicionais, aos saberes populares, às expressões artísticas locais e às ações desenvolvidas na zona urbana e rural.</w:t>
      </w:r>
    </w:p>
    <w:p w14:paraId="5ED48458">
      <w:pPr>
        <w:pStyle w:val="10"/>
        <w:spacing w:before="0" w:after="0" w:line="360" w:lineRule="auto"/>
        <w:ind w:firstLine="708"/>
        <w:jc w:val="both"/>
        <w:rPr>
          <w:sz w:val="22"/>
          <w:szCs w:val="22"/>
        </w:rPr>
      </w:pPr>
      <w:r>
        <w:rPr>
          <w:sz w:val="22"/>
          <w:szCs w:val="22"/>
        </w:rPr>
        <w:t>Dessa forma, a Prefeitura Municipal de Silvianópolis/MG, por meio da Secretaria Municipal de Cultura, torna público o presente edital, elaborado com fundamento na Lei nº 14.399/2022, na Lei nº 14.903/2024, no Decreto nº 11.740/2023, no Decreto nº 11.453/2023 e na Instrução Normativa MinC nº 10/2023.</w:t>
      </w:r>
    </w:p>
    <w:p w14:paraId="19E61FE7">
      <w:pPr>
        <w:pStyle w:val="9"/>
        <w:spacing w:line="360" w:lineRule="auto"/>
        <w:jc w:val="both"/>
        <w:rPr>
          <w:sz w:val="22"/>
          <w:szCs w:val="22"/>
        </w:rPr>
      </w:pPr>
    </w:p>
    <w:p w14:paraId="019A547B">
      <w:pPr>
        <w:pStyle w:val="9"/>
        <w:spacing w:line="360" w:lineRule="auto"/>
        <w:jc w:val="both"/>
        <w:rPr>
          <w:sz w:val="22"/>
          <w:szCs w:val="22"/>
        </w:rPr>
      </w:pPr>
      <w:r>
        <w:rPr>
          <w:sz w:val="22"/>
          <w:szCs w:val="22"/>
        </w:rPr>
        <w:t>______________________________________</w:t>
      </w:r>
    </w:p>
    <w:p w14:paraId="2C62A508">
      <w:pPr>
        <w:pStyle w:val="14"/>
        <w:spacing w:before="0" w:after="0" w:line="360" w:lineRule="auto"/>
        <w:jc w:val="both"/>
        <w:rPr>
          <w:sz w:val="22"/>
          <w:szCs w:val="22"/>
        </w:rPr>
      </w:pPr>
      <w:r>
        <w:rPr>
          <w:sz w:val="22"/>
          <w:szCs w:val="22"/>
        </w:rPr>
        <w:t>2. INFORMAÇÕES GERAIS</w:t>
      </w:r>
    </w:p>
    <w:p w14:paraId="7475AF5B">
      <w:pPr>
        <w:pStyle w:val="15"/>
        <w:spacing w:before="0" w:after="0" w:line="360" w:lineRule="auto"/>
        <w:jc w:val="both"/>
        <w:rPr>
          <w:sz w:val="22"/>
          <w:szCs w:val="22"/>
        </w:rPr>
      </w:pPr>
    </w:p>
    <w:p w14:paraId="5F61DBA7">
      <w:pPr>
        <w:pStyle w:val="15"/>
        <w:spacing w:before="0" w:after="0" w:line="360" w:lineRule="auto"/>
        <w:ind w:firstLine="708"/>
        <w:jc w:val="both"/>
        <w:rPr>
          <w:sz w:val="22"/>
          <w:szCs w:val="22"/>
        </w:rPr>
      </w:pPr>
      <w:r>
        <w:rPr>
          <w:sz w:val="22"/>
          <w:szCs w:val="22"/>
        </w:rPr>
        <w:t>2.1. Objeto do edital</w:t>
      </w:r>
    </w:p>
    <w:p w14:paraId="483474E7">
      <w:pPr>
        <w:pStyle w:val="10"/>
        <w:spacing w:before="0" w:after="0" w:line="360" w:lineRule="auto"/>
        <w:ind w:firstLine="708"/>
        <w:jc w:val="both"/>
        <w:rPr>
          <w:sz w:val="22"/>
          <w:szCs w:val="22"/>
        </w:rPr>
      </w:pPr>
      <w:r>
        <w:rPr>
          <w:sz w:val="22"/>
          <w:szCs w:val="22"/>
        </w:rPr>
        <w:t>O presente edital tem por objeto a seleção de projetos culturais para celebração de Termo de Execução Cultural, com a concessão de apoio financeiro a iniciativas artístico-culturais, conforme categorias descritas no Anexo I, com vistas a incentivar, valorizar e fortalecer as diversas formas de manifestação cultural no Município de Silvianópolis/MG, com especial atenção às culturas tradicionais, às expressões artísticas locais e às ações desenvolvidas na zona rural.</w:t>
      </w:r>
    </w:p>
    <w:p w14:paraId="1F759697">
      <w:pPr>
        <w:pStyle w:val="9"/>
        <w:spacing w:line="360" w:lineRule="auto"/>
        <w:jc w:val="both"/>
        <w:rPr>
          <w:sz w:val="22"/>
          <w:szCs w:val="22"/>
        </w:rPr>
      </w:pPr>
    </w:p>
    <w:p w14:paraId="7D1EDC12">
      <w:pPr>
        <w:pStyle w:val="15"/>
        <w:spacing w:before="0" w:after="0" w:line="360" w:lineRule="auto"/>
        <w:ind w:firstLine="708"/>
        <w:jc w:val="both"/>
        <w:rPr>
          <w:sz w:val="22"/>
          <w:szCs w:val="22"/>
        </w:rPr>
      </w:pPr>
      <w:r>
        <w:rPr>
          <w:sz w:val="22"/>
          <w:szCs w:val="22"/>
        </w:rPr>
        <w:t>2.2. Quantidade de projetos selecionados</w:t>
      </w:r>
    </w:p>
    <w:p w14:paraId="23ED87BE">
      <w:pPr>
        <w:pStyle w:val="10"/>
        <w:spacing w:before="0" w:after="0" w:line="360" w:lineRule="auto"/>
        <w:ind w:firstLine="708"/>
        <w:jc w:val="both"/>
        <w:rPr>
          <w:sz w:val="22"/>
          <w:szCs w:val="22"/>
        </w:rPr>
      </w:pPr>
      <w:r>
        <w:rPr>
          <w:sz w:val="22"/>
          <w:szCs w:val="22"/>
        </w:rPr>
        <w:t>Serão selecionados até 2</w:t>
      </w:r>
      <w:r>
        <w:rPr>
          <w:rFonts w:hint="default"/>
          <w:sz w:val="22"/>
          <w:szCs w:val="22"/>
          <w:lang w:val="pt-BR"/>
        </w:rPr>
        <w:t>2</w:t>
      </w:r>
      <w:r>
        <w:rPr>
          <w:sz w:val="22"/>
          <w:szCs w:val="22"/>
        </w:rPr>
        <w:t xml:space="preserve"> (vinte</w:t>
      </w:r>
      <w:r>
        <w:rPr>
          <w:rFonts w:hint="default"/>
          <w:sz w:val="22"/>
          <w:szCs w:val="22"/>
          <w:lang w:val="pt-BR"/>
        </w:rPr>
        <w:t xml:space="preserve"> e dois</w:t>
      </w:r>
      <w:r>
        <w:rPr>
          <w:sz w:val="22"/>
          <w:szCs w:val="22"/>
        </w:rPr>
        <w:t xml:space="preserve">) projetos culturais, conforme distribuição de vagas estabelecida no </w:t>
      </w:r>
      <w:r>
        <w:rPr>
          <w:b/>
          <w:bCs/>
          <w:sz w:val="22"/>
          <w:szCs w:val="22"/>
        </w:rPr>
        <w:t>Anexo I</w:t>
      </w:r>
      <w:r>
        <w:rPr>
          <w:sz w:val="22"/>
          <w:szCs w:val="22"/>
        </w:rPr>
        <w:t>.</w:t>
      </w:r>
    </w:p>
    <w:p w14:paraId="60E9799E">
      <w:pPr>
        <w:pStyle w:val="10"/>
        <w:spacing w:before="0" w:after="0" w:line="360" w:lineRule="auto"/>
        <w:ind w:firstLine="708"/>
        <w:jc w:val="both"/>
        <w:rPr>
          <w:sz w:val="22"/>
          <w:szCs w:val="22"/>
        </w:rPr>
      </w:pPr>
      <w:r>
        <w:rPr>
          <w:sz w:val="22"/>
          <w:szCs w:val="22"/>
        </w:rPr>
        <w:t>O número de vagas e a distribuição entre as categorias poderão ser alterados pela Administração Pública, mediante justificativa técnica e interesse público devidamente demonstrado, especialmente nos casos de insuficiência de propostas habilitadas em determinada categoria, remanejamento de recursos ou otimização da execução dos recursos da Política Nacional Aldir Blanc – PNAB.</w:t>
      </w:r>
    </w:p>
    <w:p w14:paraId="240F1389">
      <w:pPr>
        <w:pStyle w:val="10"/>
        <w:spacing w:before="0" w:after="0" w:line="360" w:lineRule="auto"/>
        <w:ind w:firstLine="708"/>
        <w:jc w:val="both"/>
        <w:rPr>
          <w:sz w:val="22"/>
          <w:szCs w:val="22"/>
        </w:rPr>
      </w:pPr>
      <w:r>
        <w:rPr>
          <w:sz w:val="22"/>
          <w:szCs w:val="22"/>
        </w:rPr>
        <w:t>Caso haja disponibilidade orçamentária, o presente edital poderá ser suplementado, possibilitando a ampliação do número de projetos contemplados, mediante utilização de saldo remanescente de recursos da PNAB, inclusive aqueles oriundos de rendimentos financeiros, reprogramações ou de outros editais.</w:t>
      </w:r>
    </w:p>
    <w:p w14:paraId="05D57963">
      <w:pPr>
        <w:pStyle w:val="10"/>
        <w:spacing w:before="0" w:after="0" w:line="360" w:lineRule="auto"/>
        <w:ind w:firstLine="708"/>
        <w:jc w:val="both"/>
        <w:rPr>
          <w:sz w:val="22"/>
          <w:szCs w:val="22"/>
        </w:rPr>
      </w:pPr>
      <w:r>
        <w:rPr>
          <w:sz w:val="22"/>
          <w:szCs w:val="22"/>
        </w:rPr>
        <w:t>As alterações e eventual suplementação observarão a ordem de classificação dos projetos, os critérios de seleção estabelecidos neste edital, as regras de cotas e a disponibilidade orçamentária e financeira.</w:t>
      </w:r>
    </w:p>
    <w:p w14:paraId="49AB1FEA">
      <w:pPr>
        <w:pStyle w:val="15"/>
        <w:spacing w:before="0" w:after="0" w:line="360" w:lineRule="auto"/>
        <w:ind w:firstLine="708"/>
        <w:jc w:val="both"/>
        <w:rPr>
          <w:sz w:val="22"/>
          <w:szCs w:val="22"/>
        </w:rPr>
      </w:pPr>
    </w:p>
    <w:p w14:paraId="7F1815B9">
      <w:pPr>
        <w:pStyle w:val="15"/>
        <w:spacing w:before="0" w:after="0" w:line="360" w:lineRule="auto"/>
        <w:ind w:firstLine="708"/>
        <w:jc w:val="both"/>
        <w:rPr>
          <w:sz w:val="22"/>
          <w:szCs w:val="22"/>
        </w:rPr>
      </w:pPr>
      <w:r>
        <w:rPr>
          <w:sz w:val="22"/>
          <w:szCs w:val="22"/>
        </w:rPr>
        <w:t>2.3. Valor total do edital</w:t>
      </w:r>
    </w:p>
    <w:p w14:paraId="5A064547">
      <w:pPr>
        <w:pStyle w:val="10"/>
        <w:spacing w:before="0" w:after="0" w:line="360" w:lineRule="auto"/>
        <w:ind w:firstLine="708"/>
        <w:jc w:val="both"/>
        <w:rPr>
          <w:sz w:val="22"/>
          <w:szCs w:val="22"/>
        </w:rPr>
      </w:pPr>
      <w:r>
        <w:rPr>
          <w:sz w:val="22"/>
          <w:szCs w:val="22"/>
        </w:rPr>
        <w:t xml:space="preserve">Cada projeto selecionado receberá o valor definido no </w:t>
      </w:r>
      <w:r>
        <w:rPr>
          <w:b/>
          <w:bCs/>
          <w:sz w:val="22"/>
          <w:szCs w:val="22"/>
        </w:rPr>
        <w:t>Anexo I</w:t>
      </w:r>
      <w:r>
        <w:rPr>
          <w:sz w:val="22"/>
          <w:szCs w:val="22"/>
        </w:rPr>
        <w:t xml:space="preserve"> deste edital.</w:t>
      </w:r>
    </w:p>
    <w:p w14:paraId="3D9CA45D">
      <w:pPr>
        <w:pStyle w:val="9"/>
        <w:spacing w:line="360" w:lineRule="auto"/>
        <w:jc w:val="both"/>
        <w:rPr>
          <w:sz w:val="22"/>
          <w:szCs w:val="22"/>
        </w:rPr>
      </w:pPr>
    </w:p>
    <w:p w14:paraId="3D5A4905">
      <w:pPr>
        <w:pStyle w:val="10"/>
        <w:spacing w:before="0" w:after="0" w:line="360" w:lineRule="auto"/>
        <w:ind w:firstLine="708"/>
        <w:jc w:val="both"/>
        <w:rPr>
          <w:sz w:val="22"/>
          <w:szCs w:val="22"/>
        </w:rPr>
      </w:pPr>
      <w:r>
        <w:rPr>
          <w:sz w:val="22"/>
          <w:szCs w:val="22"/>
        </w:rPr>
        <w:t>O valor total destinado ao presente chamamento público é de R$ 3</w:t>
      </w:r>
      <w:r>
        <w:rPr>
          <w:rFonts w:hint="default"/>
          <w:sz w:val="22"/>
          <w:szCs w:val="22"/>
          <w:lang w:val="pt-BR"/>
        </w:rPr>
        <w:t>3</w:t>
      </w:r>
      <w:r>
        <w:rPr>
          <w:sz w:val="22"/>
          <w:szCs w:val="22"/>
        </w:rPr>
        <w:t>.848,39 (trinta</w:t>
      </w:r>
      <w:r>
        <w:rPr>
          <w:rFonts w:hint="default"/>
          <w:sz w:val="22"/>
          <w:szCs w:val="22"/>
          <w:lang w:val="pt-BR"/>
        </w:rPr>
        <w:t xml:space="preserve"> e três mil</w:t>
      </w:r>
      <w:r>
        <w:rPr>
          <w:sz w:val="22"/>
          <w:szCs w:val="22"/>
        </w:rPr>
        <w:t>, oitocentos e quarenta e oito reais e trinta e nove centavos).</w:t>
      </w:r>
    </w:p>
    <w:p w14:paraId="3DA36F91">
      <w:pPr>
        <w:pStyle w:val="10"/>
        <w:spacing w:before="0" w:after="0" w:line="360" w:lineRule="auto"/>
        <w:ind w:firstLine="708"/>
        <w:jc w:val="both"/>
        <w:rPr>
          <w:sz w:val="22"/>
          <w:szCs w:val="22"/>
        </w:rPr>
      </w:pPr>
      <w:r>
        <w:rPr>
          <w:sz w:val="22"/>
          <w:szCs w:val="22"/>
        </w:rPr>
        <w:t>A despesa correrá à conta de dotação orçamentária própria vinculada aos recursos da Política Nacional Aldir Blanc de Fomento à Cultura – PNAB, conforme classificação orçamentária constante do processo administrativo correspondente.</w:t>
      </w:r>
    </w:p>
    <w:p w14:paraId="77FEC3D9">
      <w:pPr>
        <w:pStyle w:val="10"/>
        <w:spacing w:before="0" w:after="0" w:line="360" w:lineRule="auto"/>
        <w:ind w:firstLine="708"/>
        <w:jc w:val="both"/>
        <w:rPr>
          <w:sz w:val="22"/>
          <w:szCs w:val="22"/>
        </w:rPr>
      </w:pPr>
      <w:r>
        <w:rPr>
          <w:sz w:val="22"/>
          <w:szCs w:val="22"/>
        </w:rPr>
        <w:t>Os recursos repassados aos agentes culturais no âmbito deste edital possuem natureza de fomento cultural, não caracterizando contratação de prestação de serviços pela Administração Pública. A execução financeira deverá observar a legislação aplicável, as regras deste edital e as condições estabelecidas no Termo de Execução Cultural.</w:t>
      </w:r>
    </w:p>
    <w:p w14:paraId="03AC42DD">
      <w:pPr>
        <w:pStyle w:val="9"/>
        <w:spacing w:line="360" w:lineRule="auto"/>
        <w:jc w:val="both"/>
        <w:rPr>
          <w:sz w:val="22"/>
          <w:szCs w:val="22"/>
        </w:rPr>
      </w:pPr>
    </w:p>
    <w:p w14:paraId="028DC279">
      <w:pPr>
        <w:pStyle w:val="15"/>
        <w:spacing w:before="0" w:after="0" w:line="360" w:lineRule="auto"/>
        <w:ind w:firstLine="708"/>
        <w:jc w:val="both"/>
        <w:rPr>
          <w:sz w:val="22"/>
          <w:szCs w:val="22"/>
        </w:rPr>
      </w:pPr>
      <w:r>
        <w:rPr>
          <w:sz w:val="22"/>
          <w:szCs w:val="22"/>
        </w:rPr>
        <w:t>2.4. Prazo de inscrição</w:t>
      </w:r>
    </w:p>
    <w:p w14:paraId="136A598D">
      <w:pPr>
        <w:pStyle w:val="10"/>
        <w:spacing w:before="0" w:after="0" w:line="360" w:lineRule="auto"/>
        <w:ind w:firstLine="708"/>
        <w:jc w:val="both"/>
        <w:rPr>
          <w:sz w:val="22"/>
          <w:szCs w:val="22"/>
        </w:rPr>
      </w:pPr>
      <w:r>
        <w:rPr>
          <w:sz w:val="22"/>
          <w:szCs w:val="22"/>
        </w:rPr>
        <w:t>As inscrições estarão abertas das 8h do dia 25 de maio de 2026 até às 23h59 do dia 12 de junho de 2026.</w:t>
      </w:r>
    </w:p>
    <w:p w14:paraId="26E4CC45">
      <w:pPr>
        <w:pStyle w:val="10"/>
        <w:spacing w:before="0" w:after="0" w:line="360" w:lineRule="auto"/>
        <w:ind w:firstLine="708"/>
        <w:jc w:val="both"/>
        <w:rPr>
          <w:sz w:val="22"/>
          <w:szCs w:val="22"/>
        </w:rPr>
      </w:pPr>
      <w:r>
        <w:rPr>
          <w:sz w:val="22"/>
          <w:szCs w:val="22"/>
        </w:rPr>
        <w:t>O prazo de inscrição observará o mínimo legal estabelecido no art. 9º da Lei nº 14.903/2024, sendo definido de modo a garantir ampla divulgação, participação social e acesso dos agentes culturais do Município.</w:t>
      </w:r>
    </w:p>
    <w:p w14:paraId="0ABA4071">
      <w:pPr>
        <w:pStyle w:val="10"/>
        <w:spacing w:before="0" w:after="0" w:line="360" w:lineRule="auto"/>
        <w:ind w:firstLine="708"/>
        <w:jc w:val="both"/>
        <w:rPr>
          <w:sz w:val="22"/>
          <w:szCs w:val="22"/>
        </w:rPr>
      </w:pPr>
      <w:r>
        <w:rPr>
          <w:sz w:val="22"/>
          <w:szCs w:val="22"/>
        </w:rPr>
        <w:t>As inscrições deverão ser realizadas conforme orientações constantes no item 4 deste edital.</w:t>
      </w:r>
    </w:p>
    <w:p w14:paraId="2646E347">
      <w:pPr>
        <w:pStyle w:val="9"/>
        <w:spacing w:line="360" w:lineRule="auto"/>
        <w:jc w:val="both"/>
        <w:rPr>
          <w:sz w:val="22"/>
          <w:szCs w:val="22"/>
        </w:rPr>
      </w:pPr>
    </w:p>
    <w:p w14:paraId="0889E56D">
      <w:pPr>
        <w:pStyle w:val="15"/>
        <w:spacing w:before="0" w:after="0" w:line="360" w:lineRule="auto"/>
        <w:ind w:firstLine="708"/>
        <w:jc w:val="both"/>
        <w:rPr>
          <w:sz w:val="22"/>
          <w:szCs w:val="22"/>
        </w:rPr>
      </w:pPr>
      <w:r>
        <w:rPr>
          <w:sz w:val="22"/>
          <w:szCs w:val="22"/>
        </w:rPr>
        <w:t>2.5. Quem pode participar</w:t>
      </w:r>
    </w:p>
    <w:p w14:paraId="2D3336C7">
      <w:pPr>
        <w:pStyle w:val="10"/>
        <w:spacing w:before="0" w:after="0" w:line="360" w:lineRule="auto"/>
        <w:ind w:firstLine="708"/>
        <w:jc w:val="both"/>
        <w:rPr>
          <w:sz w:val="22"/>
          <w:szCs w:val="22"/>
        </w:rPr>
      </w:pPr>
      <w:r>
        <w:rPr>
          <w:sz w:val="22"/>
          <w:szCs w:val="22"/>
        </w:rPr>
        <w:t>Poderão se inscrever neste edital agentes culturais que residam no Município de Silvianópolis/MG</w:t>
      </w:r>
      <w:r>
        <w:rPr>
          <w:rFonts w:hint="default"/>
          <w:sz w:val="22"/>
          <w:szCs w:val="22"/>
          <w:lang w:val="pt-BR"/>
        </w:rPr>
        <w:t xml:space="preserve"> </w:t>
      </w:r>
      <w:r>
        <w:rPr>
          <w:sz w:val="22"/>
          <w:szCs w:val="22"/>
        </w:rPr>
        <w:t xml:space="preserve"> há, no mínimo, 1 (um) ano.</w:t>
      </w:r>
    </w:p>
    <w:p w14:paraId="63FFF99A">
      <w:pPr>
        <w:pStyle w:val="10"/>
        <w:spacing w:before="0" w:after="0" w:line="360" w:lineRule="auto"/>
        <w:ind w:firstLine="708"/>
        <w:jc w:val="both"/>
        <w:rPr>
          <w:sz w:val="22"/>
          <w:szCs w:val="22"/>
        </w:rPr>
      </w:pPr>
      <w:r>
        <w:rPr>
          <w:sz w:val="22"/>
          <w:szCs w:val="22"/>
        </w:rPr>
        <w:t>Para fins deste edital, considera-se agente cultural toda pessoa física, jurídica ou coletivo responsável por criar, produzir, promover ou difundir manifestações culturais, tais como artistas, músicos, artesãos, produtores culturais, grupos tradicionais, mestres e mestras da cultura popular, fazedores de cultura, coletivos culturais e demais agentes vinculados às manifestações culturais locais.</w:t>
      </w:r>
    </w:p>
    <w:p w14:paraId="13BF58FA">
      <w:pPr>
        <w:pStyle w:val="10"/>
        <w:spacing w:before="0" w:after="0" w:line="360" w:lineRule="auto"/>
        <w:ind w:firstLine="708"/>
        <w:jc w:val="both"/>
        <w:rPr>
          <w:sz w:val="22"/>
          <w:szCs w:val="22"/>
        </w:rPr>
      </w:pPr>
      <w:r>
        <w:rPr>
          <w:sz w:val="22"/>
          <w:szCs w:val="22"/>
        </w:rPr>
        <w:t>Os agentes culturais poderão se inscrever nas seguintes condições:</w:t>
      </w:r>
    </w:p>
    <w:p w14:paraId="5D53FD2D">
      <w:pPr>
        <w:pStyle w:val="10"/>
        <w:spacing w:before="0" w:after="0" w:line="360" w:lineRule="auto"/>
        <w:ind w:left="708"/>
        <w:jc w:val="both"/>
        <w:rPr>
          <w:sz w:val="22"/>
          <w:szCs w:val="22"/>
        </w:rPr>
      </w:pPr>
      <w:r>
        <w:rPr>
          <w:sz w:val="22"/>
          <w:szCs w:val="22"/>
        </w:rPr>
        <w:t>I – Pessoa física ou Microempreendedor Individual – MEI;</w:t>
      </w:r>
    </w:p>
    <w:p w14:paraId="65322378">
      <w:pPr>
        <w:pStyle w:val="10"/>
        <w:spacing w:before="0" w:after="0" w:line="360" w:lineRule="auto"/>
        <w:ind w:left="708"/>
        <w:jc w:val="both"/>
        <w:rPr>
          <w:sz w:val="22"/>
          <w:szCs w:val="22"/>
        </w:rPr>
      </w:pPr>
      <w:r>
        <w:rPr>
          <w:sz w:val="22"/>
          <w:szCs w:val="22"/>
        </w:rPr>
        <w:t>II – Pessoa jurídica com fins lucrativos;</w:t>
      </w:r>
    </w:p>
    <w:p w14:paraId="22A11C45">
      <w:pPr>
        <w:pStyle w:val="10"/>
        <w:spacing w:before="0" w:after="0" w:line="360" w:lineRule="auto"/>
        <w:ind w:left="708"/>
        <w:jc w:val="both"/>
        <w:rPr>
          <w:sz w:val="22"/>
          <w:szCs w:val="22"/>
        </w:rPr>
      </w:pPr>
      <w:r>
        <w:rPr>
          <w:sz w:val="22"/>
          <w:szCs w:val="22"/>
        </w:rPr>
        <w:t>III – Pessoa jurídica sem fins lucrativos;</w:t>
      </w:r>
    </w:p>
    <w:p w14:paraId="644402DF">
      <w:pPr>
        <w:pStyle w:val="10"/>
        <w:spacing w:before="0" w:after="0" w:line="360" w:lineRule="auto"/>
        <w:ind w:left="708"/>
        <w:jc w:val="both"/>
        <w:rPr>
          <w:sz w:val="22"/>
          <w:szCs w:val="22"/>
        </w:rPr>
      </w:pPr>
      <w:r>
        <w:rPr>
          <w:sz w:val="22"/>
          <w:szCs w:val="22"/>
        </w:rPr>
        <w:t>IV – Coletivo ou grupo cultural sem CNPJ, representado por pessoa física.</w:t>
      </w:r>
    </w:p>
    <w:p w14:paraId="73FBAF1F">
      <w:pPr>
        <w:pStyle w:val="10"/>
        <w:spacing w:before="0" w:after="0" w:line="360" w:lineRule="auto"/>
        <w:jc w:val="both"/>
        <w:rPr>
          <w:sz w:val="22"/>
          <w:szCs w:val="22"/>
        </w:rPr>
      </w:pPr>
    </w:p>
    <w:p w14:paraId="4B350658">
      <w:pPr>
        <w:pStyle w:val="10"/>
        <w:spacing w:before="0" w:after="0" w:line="360" w:lineRule="auto"/>
        <w:ind w:firstLine="708"/>
        <w:jc w:val="both"/>
        <w:rPr>
          <w:sz w:val="22"/>
          <w:szCs w:val="22"/>
        </w:rPr>
      </w:pPr>
      <w:r>
        <w:rPr>
          <w:sz w:val="22"/>
          <w:szCs w:val="22"/>
        </w:rPr>
        <w:t>Nos casos de grupos ou coletivos sem constituição jurídica, deverá ser indicado um representante legal, responsável pela inscrição, assinatura do Termo de Execução Cultural e interlocução com a Administração Pública, mediante apresentação de declaração de representação assinada pelos demais integrantes, conforme modelo constante no Anexo VI.</w:t>
      </w:r>
    </w:p>
    <w:p w14:paraId="4C412CDE">
      <w:pPr>
        <w:pStyle w:val="9"/>
        <w:spacing w:line="360" w:lineRule="auto"/>
        <w:jc w:val="both"/>
        <w:rPr>
          <w:sz w:val="22"/>
          <w:szCs w:val="22"/>
        </w:rPr>
      </w:pPr>
    </w:p>
    <w:p w14:paraId="7B6324C0">
      <w:pPr>
        <w:pStyle w:val="15"/>
        <w:spacing w:before="0" w:after="0" w:line="360" w:lineRule="auto"/>
        <w:ind w:firstLine="708"/>
        <w:jc w:val="both"/>
        <w:rPr>
          <w:sz w:val="22"/>
          <w:szCs w:val="22"/>
        </w:rPr>
      </w:pPr>
      <w:r>
        <w:rPr>
          <w:sz w:val="22"/>
          <w:szCs w:val="22"/>
        </w:rPr>
        <w:t>2.6. Quem não pode participar</w:t>
      </w:r>
    </w:p>
    <w:p w14:paraId="2585CD5E">
      <w:pPr>
        <w:pStyle w:val="10"/>
        <w:spacing w:before="0" w:after="0" w:line="360" w:lineRule="auto"/>
        <w:ind w:firstLine="708"/>
        <w:jc w:val="both"/>
        <w:rPr>
          <w:sz w:val="22"/>
          <w:szCs w:val="22"/>
        </w:rPr>
      </w:pPr>
      <w:r>
        <w:rPr>
          <w:sz w:val="22"/>
          <w:szCs w:val="22"/>
        </w:rPr>
        <w:t>Não poderão participar deste edital agentes culturais que:</w:t>
      </w:r>
    </w:p>
    <w:p w14:paraId="19244D1E">
      <w:pPr>
        <w:pStyle w:val="9"/>
        <w:spacing w:line="360" w:lineRule="auto"/>
        <w:ind w:left="708"/>
        <w:jc w:val="both"/>
        <w:rPr>
          <w:sz w:val="22"/>
          <w:szCs w:val="22"/>
        </w:rPr>
      </w:pPr>
    </w:p>
    <w:p w14:paraId="20AF33B2">
      <w:pPr>
        <w:pStyle w:val="10"/>
        <w:spacing w:before="0" w:after="0" w:line="360" w:lineRule="auto"/>
        <w:ind w:left="708"/>
        <w:jc w:val="both"/>
        <w:rPr>
          <w:sz w:val="22"/>
          <w:szCs w:val="22"/>
        </w:rPr>
      </w:pPr>
      <w:r>
        <w:rPr>
          <w:sz w:val="22"/>
          <w:szCs w:val="22"/>
        </w:rPr>
        <w:t>I – Tenham participado diretamente da elaboração do edital, da análise das propostas ou do julgamento de recursos;</w:t>
      </w:r>
    </w:p>
    <w:p w14:paraId="5F8B651C">
      <w:pPr>
        <w:pStyle w:val="9"/>
        <w:spacing w:line="360" w:lineRule="auto"/>
        <w:ind w:left="708"/>
        <w:jc w:val="both"/>
        <w:rPr>
          <w:sz w:val="22"/>
          <w:szCs w:val="22"/>
        </w:rPr>
      </w:pPr>
      <w:r>
        <w:rPr>
          <w:sz w:val="22"/>
          <w:szCs w:val="22"/>
        </w:rPr>
        <w:t>II – Sejam cônjuges, companheiros ou parentes em linha reta, colateral ou por afinidade, até o terceiro grau, de servidores públicos diretamente envolvidos nas etapas de elaboração, análise, seleção, habilitação ou julgamento de recursos deste edital;</w:t>
      </w:r>
    </w:p>
    <w:p w14:paraId="4587BA08">
      <w:pPr>
        <w:pStyle w:val="10"/>
        <w:spacing w:before="0" w:after="0" w:line="360" w:lineRule="auto"/>
        <w:ind w:left="708"/>
        <w:jc w:val="both"/>
        <w:rPr>
          <w:sz w:val="22"/>
          <w:szCs w:val="22"/>
        </w:rPr>
      </w:pPr>
      <w:r>
        <w:rPr>
          <w:sz w:val="22"/>
          <w:szCs w:val="22"/>
        </w:rPr>
        <w:t>III – Ocupem cargo de Chefe do Poder Executivo, Secretário Municipal, cargo eletivo do Poder Legislativo, ou sejam membros do Poder Judiciário, do Ministério Público ou do Tribunal de Contas.</w:t>
      </w:r>
    </w:p>
    <w:p w14:paraId="02F89F80">
      <w:pPr>
        <w:pStyle w:val="9"/>
        <w:spacing w:line="360" w:lineRule="auto"/>
        <w:jc w:val="both"/>
        <w:rPr>
          <w:sz w:val="22"/>
          <w:szCs w:val="22"/>
        </w:rPr>
      </w:pPr>
    </w:p>
    <w:p w14:paraId="170BACC5">
      <w:pPr>
        <w:pStyle w:val="10"/>
        <w:spacing w:before="0" w:after="0" w:line="360" w:lineRule="auto"/>
        <w:ind w:firstLine="708"/>
        <w:jc w:val="both"/>
        <w:rPr>
          <w:sz w:val="22"/>
          <w:szCs w:val="22"/>
        </w:rPr>
      </w:pPr>
      <w:r>
        <w:rPr>
          <w:sz w:val="22"/>
          <w:szCs w:val="22"/>
        </w:rPr>
        <w:t>No caso de pessoas jurídicas, ficam impedidas de participar aquelas cujos sócios, dirigentes ou administradores se enquadrem nas hipóteses acima.</w:t>
      </w:r>
    </w:p>
    <w:p w14:paraId="4BE6C2CB">
      <w:pPr>
        <w:pStyle w:val="10"/>
        <w:spacing w:before="0" w:after="0" w:line="360" w:lineRule="auto"/>
        <w:ind w:firstLine="708"/>
        <w:jc w:val="both"/>
        <w:rPr>
          <w:sz w:val="22"/>
          <w:szCs w:val="22"/>
        </w:rPr>
      </w:pPr>
      <w:r>
        <w:rPr>
          <w:sz w:val="22"/>
          <w:szCs w:val="22"/>
        </w:rPr>
        <w:t>A participação em consultas públicas, audiências ou escutas relacionadas à construção deste edital não configura impedimento à participação, desde que não haja envolvimento direto nas etapas técnicas de elaboração, seleção ou julgamento.</w:t>
      </w:r>
    </w:p>
    <w:p w14:paraId="1C3F0F9C">
      <w:pPr>
        <w:pStyle w:val="10"/>
        <w:spacing w:before="0" w:after="0" w:line="360" w:lineRule="auto"/>
        <w:ind w:firstLine="708"/>
        <w:jc w:val="both"/>
        <w:rPr>
          <w:sz w:val="22"/>
          <w:szCs w:val="22"/>
        </w:rPr>
      </w:pPr>
      <w:r>
        <w:rPr>
          <w:sz w:val="22"/>
          <w:szCs w:val="22"/>
        </w:rPr>
        <w:t>O agente cultural que integrar Conselho Municipal de Cultura ou Conselho Municipal do Patrimônio Cultural poderá participar deste edital, desde que não se enquadre nas hipóteses de impedimento previstas neste item.</w:t>
      </w:r>
    </w:p>
    <w:p w14:paraId="3A46A51F">
      <w:pPr>
        <w:pStyle w:val="9"/>
        <w:spacing w:line="360" w:lineRule="auto"/>
        <w:jc w:val="both"/>
        <w:rPr>
          <w:sz w:val="22"/>
          <w:szCs w:val="22"/>
        </w:rPr>
      </w:pPr>
    </w:p>
    <w:p w14:paraId="43395ABF">
      <w:pPr>
        <w:pStyle w:val="15"/>
        <w:spacing w:before="0" w:after="0" w:line="360" w:lineRule="auto"/>
        <w:ind w:firstLine="708"/>
        <w:jc w:val="both"/>
        <w:rPr>
          <w:sz w:val="22"/>
          <w:szCs w:val="22"/>
        </w:rPr>
      </w:pPr>
      <w:r>
        <w:rPr>
          <w:sz w:val="22"/>
          <w:szCs w:val="22"/>
        </w:rPr>
        <w:t>2.7. Limite de projetos por proponente</w:t>
      </w:r>
    </w:p>
    <w:p w14:paraId="0A5B2BFB">
      <w:pPr>
        <w:pStyle w:val="10"/>
        <w:spacing w:before="0" w:after="0" w:line="360" w:lineRule="auto"/>
        <w:ind w:firstLine="708"/>
        <w:jc w:val="both"/>
        <w:rPr>
          <w:sz w:val="22"/>
          <w:szCs w:val="22"/>
        </w:rPr>
      </w:pPr>
      <w:r>
        <w:rPr>
          <w:sz w:val="22"/>
          <w:szCs w:val="22"/>
        </w:rPr>
        <w:t>Cada agente cultural poderá inscrever até 1 (um) projeto neste edital, podendo ser contemplado com, no máximo, 1 (um) projeto.</w:t>
      </w:r>
    </w:p>
    <w:p w14:paraId="01133EF9">
      <w:pPr>
        <w:pStyle w:val="9"/>
        <w:spacing w:line="360" w:lineRule="auto"/>
        <w:jc w:val="both"/>
        <w:rPr>
          <w:sz w:val="22"/>
          <w:szCs w:val="22"/>
        </w:rPr>
      </w:pPr>
    </w:p>
    <w:p w14:paraId="38506041">
      <w:pPr>
        <w:pStyle w:val="9"/>
        <w:spacing w:line="360" w:lineRule="auto"/>
        <w:jc w:val="both"/>
        <w:rPr>
          <w:sz w:val="22"/>
          <w:szCs w:val="22"/>
        </w:rPr>
      </w:pPr>
    </w:p>
    <w:p w14:paraId="7C47FCD5">
      <w:pPr>
        <w:pStyle w:val="9"/>
        <w:spacing w:line="360" w:lineRule="auto"/>
        <w:jc w:val="both"/>
        <w:rPr>
          <w:sz w:val="22"/>
          <w:szCs w:val="22"/>
        </w:rPr>
      </w:pPr>
    </w:p>
    <w:p w14:paraId="154DE5CC">
      <w:pPr>
        <w:pStyle w:val="9"/>
        <w:spacing w:line="360" w:lineRule="auto"/>
        <w:jc w:val="both"/>
        <w:rPr>
          <w:sz w:val="22"/>
          <w:szCs w:val="22"/>
        </w:rPr>
      </w:pPr>
      <w:r>
        <w:rPr>
          <w:sz w:val="22"/>
          <w:szCs w:val="22"/>
        </w:rPr>
        <w:t>______________________________________</w:t>
      </w:r>
    </w:p>
    <w:p w14:paraId="77597251">
      <w:pPr>
        <w:pStyle w:val="14"/>
        <w:spacing w:before="0" w:after="0" w:line="360" w:lineRule="auto"/>
        <w:jc w:val="both"/>
        <w:rPr>
          <w:sz w:val="22"/>
          <w:szCs w:val="22"/>
        </w:rPr>
      </w:pPr>
      <w:r>
        <w:rPr>
          <w:sz w:val="22"/>
          <w:szCs w:val="22"/>
        </w:rPr>
        <w:t>3. ETAPAS DO EDITAL</w:t>
      </w:r>
    </w:p>
    <w:p w14:paraId="633D9CFE">
      <w:pPr>
        <w:pStyle w:val="10"/>
        <w:spacing w:before="0" w:after="0" w:line="360" w:lineRule="auto"/>
        <w:jc w:val="both"/>
        <w:rPr>
          <w:sz w:val="22"/>
          <w:szCs w:val="22"/>
        </w:rPr>
      </w:pPr>
    </w:p>
    <w:p w14:paraId="3D8385C3">
      <w:pPr>
        <w:pStyle w:val="10"/>
        <w:spacing w:before="0" w:after="0" w:line="360" w:lineRule="auto"/>
        <w:jc w:val="both"/>
        <w:rPr>
          <w:sz w:val="22"/>
          <w:szCs w:val="22"/>
        </w:rPr>
      </w:pPr>
      <w:r>
        <w:rPr>
          <w:sz w:val="22"/>
          <w:szCs w:val="22"/>
        </w:rPr>
        <w:t>O presente edital será composto pelas seguintes etapas:</w:t>
      </w:r>
    </w:p>
    <w:p w14:paraId="79AF58E3">
      <w:pPr>
        <w:pStyle w:val="9"/>
        <w:spacing w:line="360" w:lineRule="auto"/>
        <w:ind w:left="708"/>
        <w:jc w:val="both"/>
        <w:rPr>
          <w:sz w:val="10"/>
          <w:szCs w:val="10"/>
        </w:rPr>
      </w:pPr>
    </w:p>
    <w:p w14:paraId="56F1EE81">
      <w:pPr>
        <w:pStyle w:val="10"/>
        <w:spacing w:before="0" w:after="0" w:line="360" w:lineRule="auto"/>
        <w:ind w:left="708"/>
        <w:jc w:val="both"/>
        <w:rPr>
          <w:sz w:val="22"/>
          <w:szCs w:val="22"/>
        </w:rPr>
      </w:pPr>
      <w:r>
        <w:rPr>
          <w:sz w:val="22"/>
          <w:szCs w:val="22"/>
        </w:rPr>
        <w:t>I – Inscrição: envio dos projetos pelos agentes culturais;</w:t>
      </w:r>
    </w:p>
    <w:p w14:paraId="31FCC08B">
      <w:pPr>
        <w:pStyle w:val="10"/>
        <w:spacing w:before="0" w:after="0" w:line="360" w:lineRule="auto"/>
        <w:ind w:left="708"/>
        <w:jc w:val="both"/>
        <w:rPr>
          <w:sz w:val="22"/>
          <w:szCs w:val="22"/>
        </w:rPr>
      </w:pPr>
      <w:r>
        <w:rPr>
          <w:sz w:val="22"/>
          <w:szCs w:val="22"/>
        </w:rPr>
        <w:t>II – Seleção: análise de mérito cultural e avaliação das propostas por Comissão de Seleção designada;</w:t>
      </w:r>
    </w:p>
    <w:p w14:paraId="0D4602F9">
      <w:pPr>
        <w:pStyle w:val="10"/>
        <w:spacing w:before="0" w:after="0" w:line="360" w:lineRule="auto"/>
        <w:ind w:left="708"/>
        <w:jc w:val="both"/>
        <w:rPr>
          <w:sz w:val="22"/>
          <w:szCs w:val="22"/>
        </w:rPr>
      </w:pPr>
      <w:r>
        <w:rPr>
          <w:sz w:val="22"/>
          <w:szCs w:val="22"/>
        </w:rPr>
        <w:t>III – Habilitação: apresentação da documentação obrigatória pelos proponentes selecionados;</w:t>
      </w:r>
    </w:p>
    <w:p w14:paraId="02114D92">
      <w:pPr>
        <w:pStyle w:val="10"/>
        <w:spacing w:before="0" w:after="0" w:line="360" w:lineRule="auto"/>
        <w:ind w:left="708"/>
        <w:jc w:val="both"/>
        <w:rPr>
          <w:sz w:val="22"/>
          <w:szCs w:val="22"/>
        </w:rPr>
      </w:pPr>
      <w:r>
        <w:rPr>
          <w:sz w:val="22"/>
          <w:szCs w:val="22"/>
        </w:rPr>
        <w:t>IV – Assinatura do Termo de Execução Cultural: formalização do instrumento jurídico e início dos procedimentos necessários ao repasse dos recursos;</w:t>
      </w:r>
    </w:p>
    <w:p w14:paraId="6F67A606">
      <w:pPr>
        <w:pStyle w:val="10"/>
        <w:spacing w:before="0" w:after="0" w:line="360" w:lineRule="auto"/>
        <w:ind w:left="708"/>
        <w:jc w:val="both"/>
        <w:rPr>
          <w:sz w:val="22"/>
          <w:szCs w:val="22"/>
        </w:rPr>
      </w:pPr>
      <w:r>
        <w:rPr>
          <w:sz w:val="22"/>
          <w:szCs w:val="22"/>
        </w:rPr>
        <w:t>V – Execução, monitoramento e prestação de informações: realização do projeto, acompanhamento pela Administração Pública e apresentação do Relatório de Execução do Objeto.</w:t>
      </w:r>
    </w:p>
    <w:p w14:paraId="765928FD">
      <w:pPr>
        <w:pStyle w:val="9"/>
        <w:spacing w:line="360" w:lineRule="auto"/>
        <w:jc w:val="both"/>
      </w:pPr>
    </w:p>
    <w:p w14:paraId="0409D982">
      <w:pPr>
        <w:pStyle w:val="9"/>
        <w:spacing w:line="360" w:lineRule="auto"/>
        <w:jc w:val="both"/>
        <w:rPr>
          <w:sz w:val="22"/>
          <w:szCs w:val="22"/>
        </w:rPr>
      </w:pPr>
      <w:r>
        <w:rPr>
          <w:sz w:val="22"/>
          <w:szCs w:val="22"/>
        </w:rPr>
        <w:t>______________________________________</w:t>
      </w:r>
    </w:p>
    <w:p w14:paraId="55867901">
      <w:pPr>
        <w:pStyle w:val="14"/>
        <w:spacing w:before="0" w:after="0" w:line="360" w:lineRule="auto"/>
        <w:jc w:val="both"/>
        <w:rPr>
          <w:sz w:val="22"/>
          <w:szCs w:val="22"/>
        </w:rPr>
      </w:pPr>
      <w:r>
        <w:rPr>
          <w:sz w:val="22"/>
          <w:szCs w:val="22"/>
        </w:rPr>
        <w:t>4. INSCRIÇÕES</w:t>
      </w:r>
    </w:p>
    <w:p w14:paraId="172964B5">
      <w:pPr>
        <w:pStyle w:val="10"/>
        <w:spacing w:before="0" w:after="0" w:line="360" w:lineRule="auto"/>
        <w:jc w:val="both"/>
        <w:rPr>
          <w:sz w:val="22"/>
          <w:szCs w:val="22"/>
        </w:rPr>
      </w:pPr>
    </w:p>
    <w:p w14:paraId="22DD0863">
      <w:pPr>
        <w:pStyle w:val="10"/>
        <w:spacing w:before="0" w:after="0" w:line="360" w:lineRule="auto"/>
        <w:ind w:firstLine="708"/>
        <w:jc w:val="both"/>
        <w:rPr>
          <w:sz w:val="22"/>
          <w:szCs w:val="22"/>
        </w:rPr>
      </w:pPr>
      <w:r>
        <w:rPr>
          <w:sz w:val="22"/>
          <w:szCs w:val="22"/>
        </w:rPr>
        <w:t xml:space="preserve">As inscrições </w:t>
      </w:r>
      <w:r>
        <w:rPr>
          <w:rFonts w:hint="default"/>
          <w:sz w:val="22"/>
          <w:szCs w:val="22"/>
          <w:lang w:val="pt-BR"/>
        </w:rPr>
        <w:t>devem ser encaminhadas</w:t>
      </w:r>
      <w:bookmarkStart w:id="0" w:name="_GoBack"/>
      <w:bookmarkEnd w:id="0"/>
      <w:r>
        <w:rPr>
          <w:sz w:val="22"/>
          <w:szCs w:val="22"/>
        </w:rPr>
        <w:t xml:space="preserve"> presencialmente na Secretaria Municipal de Cultura, durante o horário de expediente, conforme orientações publicadas pela Administração Pública Municipal.</w:t>
      </w:r>
    </w:p>
    <w:p w14:paraId="128E5AB7">
      <w:pPr>
        <w:pStyle w:val="10"/>
        <w:spacing w:before="0" w:after="0" w:line="360" w:lineRule="auto"/>
        <w:ind w:firstLine="708"/>
        <w:jc w:val="both"/>
        <w:rPr>
          <w:sz w:val="22"/>
          <w:szCs w:val="22"/>
        </w:rPr>
      </w:pPr>
      <w:r>
        <w:rPr>
          <w:sz w:val="22"/>
          <w:szCs w:val="22"/>
        </w:rPr>
        <w:t>Na etapa de inscrição, não será exigida a apresentação de documentos de habilitação, tais como certidões negativas ou demais documentos comprobatórios de regularidade, os quais serão solicitados apenas na fase de habilitação dos projetos selecionados.</w:t>
      </w:r>
    </w:p>
    <w:p w14:paraId="7A3AD985">
      <w:pPr>
        <w:pStyle w:val="9"/>
        <w:spacing w:line="360" w:lineRule="auto"/>
        <w:jc w:val="both"/>
        <w:rPr>
          <w:sz w:val="10"/>
          <w:szCs w:val="10"/>
        </w:rPr>
      </w:pPr>
    </w:p>
    <w:p w14:paraId="3EB7C89D">
      <w:pPr>
        <w:pStyle w:val="10"/>
        <w:spacing w:before="0" w:after="0" w:line="360" w:lineRule="auto"/>
        <w:ind w:firstLine="708"/>
        <w:jc w:val="both"/>
        <w:rPr>
          <w:sz w:val="22"/>
          <w:szCs w:val="22"/>
        </w:rPr>
      </w:pPr>
      <w:r>
        <w:rPr>
          <w:sz w:val="22"/>
          <w:szCs w:val="22"/>
        </w:rPr>
        <w:t>O agente cultural deverá encaminhar, obrigatoriamente, a seguinte documentação:</w:t>
      </w:r>
    </w:p>
    <w:p w14:paraId="036841BD">
      <w:pPr>
        <w:pStyle w:val="10"/>
        <w:spacing w:before="0" w:after="0" w:line="360" w:lineRule="auto"/>
        <w:ind w:left="708"/>
        <w:jc w:val="both"/>
        <w:rPr>
          <w:sz w:val="22"/>
          <w:szCs w:val="22"/>
        </w:rPr>
      </w:pPr>
      <w:r>
        <w:rPr>
          <w:sz w:val="22"/>
          <w:szCs w:val="22"/>
        </w:rPr>
        <w:t xml:space="preserve">I – Formulário de inscrição e Plano de Trabalho devidamente preenchido, conforme </w:t>
      </w:r>
      <w:r>
        <w:rPr>
          <w:b/>
          <w:bCs/>
          <w:sz w:val="22"/>
          <w:szCs w:val="22"/>
        </w:rPr>
        <w:t>Anexo II;</w:t>
      </w:r>
    </w:p>
    <w:p w14:paraId="352AF693">
      <w:pPr>
        <w:pStyle w:val="10"/>
        <w:spacing w:before="0" w:after="0" w:line="360" w:lineRule="auto"/>
        <w:ind w:left="708"/>
        <w:jc w:val="both"/>
        <w:rPr>
          <w:sz w:val="22"/>
          <w:szCs w:val="22"/>
        </w:rPr>
      </w:pPr>
      <w:r>
        <w:rPr>
          <w:sz w:val="22"/>
          <w:szCs w:val="22"/>
        </w:rPr>
        <w:t>II – Documentos específicos eventualmente exigidos conforme a categoria de inscrição, nos termos do Anexo I;</w:t>
      </w:r>
    </w:p>
    <w:p w14:paraId="2F17F13E">
      <w:pPr>
        <w:pStyle w:val="10"/>
        <w:spacing w:before="0" w:after="0" w:line="360" w:lineRule="auto"/>
        <w:ind w:left="708"/>
        <w:jc w:val="both"/>
        <w:rPr>
          <w:sz w:val="22"/>
          <w:szCs w:val="22"/>
        </w:rPr>
      </w:pPr>
      <w:r>
        <w:rPr>
          <w:sz w:val="22"/>
          <w:szCs w:val="22"/>
        </w:rPr>
        <w:t>III – Autodeclaração étnico-racial ou de pessoa com deficiência, quando houver opção pela concorrência em cotas, conforme Anexos VII e VIII;</w:t>
      </w:r>
    </w:p>
    <w:p w14:paraId="4A37537C">
      <w:pPr>
        <w:pStyle w:val="10"/>
        <w:spacing w:before="0" w:after="0" w:line="360" w:lineRule="auto"/>
        <w:ind w:left="708"/>
        <w:jc w:val="both"/>
        <w:rPr>
          <w:sz w:val="22"/>
          <w:szCs w:val="22"/>
        </w:rPr>
      </w:pPr>
      <w:r>
        <w:rPr>
          <w:sz w:val="22"/>
          <w:szCs w:val="22"/>
        </w:rPr>
        <w:t>IV – Declaração de representação, no caso de inscrição por coletivo ou grupo cultural sem CNPJ, conforme Anexo VI;</w:t>
      </w:r>
    </w:p>
    <w:p w14:paraId="3C112C48">
      <w:pPr>
        <w:pStyle w:val="10"/>
        <w:spacing w:before="0" w:after="0" w:line="360" w:lineRule="auto"/>
        <w:ind w:left="708"/>
        <w:jc w:val="both"/>
        <w:rPr>
          <w:sz w:val="22"/>
          <w:szCs w:val="22"/>
        </w:rPr>
      </w:pPr>
      <w:r>
        <w:rPr>
          <w:sz w:val="22"/>
          <w:szCs w:val="22"/>
        </w:rPr>
        <w:t>V – Materiais complementares que o proponente julgar pertinentes para subsidiar a avaliação do mérito cultural do projeto.</w:t>
      </w:r>
    </w:p>
    <w:p w14:paraId="1E9F9A92">
      <w:pPr>
        <w:pStyle w:val="10"/>
        <w:spacing w:before="0" w:after="0" w:line="360" w:lineRule="auto"/>
        <w:ind w:firstLine="708"/>
        <w:jc w:val="both"/>
        <w:rPr>
          <w:sz w:val="22"/>
          <w:szCs w:val="22"/>
        </w:rPr>
      </w:pPr>
      <w:r>
        <w:rPr>
          <w:sz w:val="22"/>
          <w:szCs w:val="22"/>
        </w:rPr>
        <w:t>Poderão ser aceitos documentos em formatos alternativos, tais como vídeo, áudio ou inscrição oral, bem como em linguagens acessíveis, incluindo Libras, de modo a garantir a ampla participação dos agentes culturais.</w:t>
      </w:r>
    </w:p>
    <w:p w14:paraId="627B9BA7">
      <w:pPr>
        <w:pStyle w:val="10"/>
        <w:spacing w:before="0" w:after="0" w:line="360" w:lineRule="auto"/>
        <w:ind w:firstLine="708"/>
        <w:jc w:val="both"/>
        <w:rPr>
          <w:sz w:val="22"/>
          <w:szCs w:val="22"/>
        </w:rPr>
      </w:pPr>
      <w:r>
        <w:rPr>
          <w:sz w:val="22"/>
          <w:szCs w:val="22"/>
        </w:rPr>
        <w:t>A Administração Pública poderá disponibilizar apoio técnico para preenchimento da inscrição, inclusive por meio de inscrição oral registrada por servidor público ou pessoa designada, especialmente para reduzir barreiras de acesso e ampliar a participação de populações em situação de vulnerabilidade.</w:t>
      </w:r>
    </w:p>
    <w:p w14:paraId="535040DC">
      <w:pPr>
        <w:pStyle w:val="10"/>
        <w:spacing w:before="0" w:after="0" w:line="360" w:lineRule="auto"/>
        <w:ind w:firstLine="708"/>
        <w:jc w:val="both"/>
        <w:rPr>
          <w:sz w:val="22"/>
          <w:szCs w:val="22"/>
        </w:rPr>
      </w:pPr>
      <w:r>
        <w:rPr>
          <w:sz w:val="22"/>
          <w:szCs w:val="22"/>
        </w:rPr>
        <w:t>Caso exista cadastro municipal de agentes culturais previamente instituído, poderá ser utilizado para simplificação dos procedimentos de inscrição, conforme regulamentação local.</w:t>
      </w:r>
    </w:p>
    <w:p w14:paraId="3247E9CE">
      <w:pPr>
        <w:pStyle w:val="10"/>
        <w:spacing w:before="0" w:after="0" w:line="360" w:lineRule="auto"/>
        <w:ind w:firstLine="708"/>
        <w:jc w:val="both"/>
        <w:rPr>
          <w:sz w:val="22"/>
          <w:szCs w:val="22"/>
        </w:rPr>
      </w:pPr>
      <w:r>
        <w:rPr>
          <w:sz w:val="22"/>
          <w:szCs w:val="22"/>
        </w:rPr>
        <w:t>O agente cultural é integralmente responsável pelo envio da documentação, pela veracidade das informações prestadas e pela qualidade técnica dos arquivos apresentados.</w:t>
      </w:r>
    </w:p>
    <w:p w14:paraId="5D8921E7">
      <w:pPr>
        <w:pStyle w:val="10"/>
        <w:spacing w:before="0" w:after="0" w:line="360" w:lineRule="auto"/>
        <w:ind w:firstLine="708"/>
        <w:jc w:val="both"/>
        <w:rPr>
          <w:sz w:val="22"/>
          <w:szCs w:val="22"/>
        </w:rPr>
      </w:pPr>
      <w:r>
        <w:rPr>
          <w:sz w:val="22"/>
          <w:szCs w:val="22"/>
        </w:rPr>
        <w:t>A inscrição implica pleno conhecimento e aceitação das condições estabelecidas neste edital, bem como das normas previstas na Lei nº 14.399/2022, na Lei nº 14.903/2024, no Decreto nº 11.740/2023, no Decreto nº 11.453/2023 e na Instrução Normativa MinC nº 10/2023.</w:t>
      </w:r>
    </w:p>
    <w:p w14:paraId="70E67102">
      <w:pPr>
        <w:pStyle w:val="9"/>
        <w:spacing w:line="360" w:lineRule="auto"/>
        <w:jc w:val="both"/>
        <w:rPr>
          <w:sz w:val="22"/>
          <w:szCs w:val="22"/>
        </w:rPr>
      </w:pPr>
    </w:p>
    <w:p w14:paraId="13A3D1F0">
      <w:pPr>
        <w:pStyle w:val="9"/>
        <w:spacing w:line="360" w:lineRule="auto"/>
        <w:jc w:val="both"/>
        <w:rPr>
          <w:sz w:val="22"/>
          <w:szCs w:val="22"/>
        </w:rPr>
      </w:pPr>
      <w:r>
        <w:rPr>
          <w:sz w:val="22"/>
          <w:szCs w:val="22"/>
        </w:rPr>
        <w:t>______________________________________</w:t>
      </w:r>
    </w:p>
    <w:p w14:paraId="538A4E9D">
      <w:pPr>
        <w:pStyle w:val="14"/>
        <w:spacing w:before="0" w:after="0" w:line="360" w:lineRule="auto"/>
        <w:jc w:val="both"/>
        <w:rPr>
          <w:sz w:val="22"/>
          <w:szCs w:val="22"/>
        </w:rPr>
      </w:pPr>
      <w:r>
        <w:rPr>
          <w:sz w:val="22"/>
          <w:szCs w:val="22"/>
        </w:rPr>
        <w:t>5. COTAS</w:t>
      </w:r>
    </w:p>
    <w:p w14:paraId="00DF67BA">
      <w:pPr>
        <w:pStyle w:val="15"/>
        <w:spacing w:before="0" w:after="0" w:line="360" w:lineRule="auto"/>
        <w:jc w:val="both"/>
        <w:rPr>
          <w:sz w:val="22"/>
          <w:szCs w:val="22"/>
        </w:rPr>
      </w:pPr>
    </w:p>
    <w:p w14:paraId="7BF6C4A8">
      <w:pPr>
        <w:pStyle w:val="15"/>
        <w:spacing w:before="0" w:after="0" w:line="360" w:lineRule="auto"/>
        <w:ind w:firstLine="708"/>
        <w:jc w:val="both"/>
        <w:rPr>
          <w:sz w:val="22"/>
          <w:szCs w:val="22"/>
        </w:rPr>
      </w:pPr>
      <w:r>
        <w:rPr>
          <w:sz w:val="22"/>
          <w:szCs w:val="22"/>
        </w:rPr>
        <w:t>5.1. Categorias de cotas</w:t>
      </w:r>
    </w:p>
    <w:p w14:paraId="44E36940">
      <w:pPr>
        <w:pStyle w:val="10"/>
        <w:spacing w:before="0" w:after="0" w:line="360" w:lineRule="auto"/>
        <w:ind w:firstLine="708"/>
        <w:jc w:val="both"/>
        <w:rPr>
          <w:sz w:val="22"/>
          <w:szCs w:val="22"/>
        </w:rPr>
      </w:pPr>
      <w:r>
        <w:rPr>
          <w:sz w:val="22"/>
          <w:szCs w:val="22"/>
        </w:rPr>
        <w:t xml:space="preserve">Ficam asseguradas cotas em todas as categorias deste edital, observada a distribuição de vagas constante do </w:t>
      </w:r>
      <w:r>
        <w:rPr>
          <w:b/>
          <w:bCs/>
          <w:sz w:val="22"/>
          <w:szCs w:val="22"/>
        </w:rPr>
        <w:t>Anexo I,</w:t>
      </w:r>
      <w:r>
        <w:rPr>
          <w:sz w:val="22"/>
          <w:szCs w:val="22"/>
        </w:rPr>
        <w:t xml:space="preserve"> para:</w:t>
      </w:r>
    </w:p>
    <w:p w14:paraId="63499EC7">
      <w:pPr>
        <w:pStyle w:val="9"/>
        <w:spacing w:line="360" w:lineRule="auto"/>
        <w:jc w:val="both"/>
        <w:rPr>
          <w:sz w:val="22"/>
          <w:szCs w:val="22"/>
        </w:rPr>
      </w:pPr>
    </w:p>
    <w:p w14:paraId="1A5D3307">
      <w:pPr>
        <w:pStyle w:val="10"/>
        <w:spacing w:before="0" w:after="0" w:line="360" w:lineRule="auto"/>
        <w:ind w:firstLine="708"/>
        <w:jc w:val="both"/>
        <w:rPr>
          <w:sz w:val="22"/>
          <w:szCs w:val="22"/>
        </w:rPr>
      </w:pPr>
      <w:r>
        <w:rPr>
          <w:sz w:val="22"/>
          <w:szCs w:val="22"/>
        </w:rPr>
        <w:t>I – Pessoas negras, assim consideradas pessoas pretas e pardas;</w:t>
      </w:r>
    </w:p>
    <w:p w14:paraId="0B687993">
      <w:pPr>
        <w:pStyle w:val="10"/>
        <w:spacing w:before="0" w:after="0" w:line="360" w:lineRule="auto"/>
        <w:ind w:firstLine="708"/>
        <w:jc w:val="both"/>
        <w:rPr>
          <w:sz w:val="22"/>
          <w:szCs w:val="22"/>
        </w:rPr>
      </w:pPr>
      <w:r>
        <w:rPr>
          <w:sz w:val="22"/>
          <w:szCs w:val="22"/>
        </w:rPr>
        <w:t>II – Pessoas indígenas; e</w:t>
      </w:r>
    </w:p>
    <w:p w14:paraId="7BAD1D71">
      <w:pPr>
        <w:pStyle w:val="10"/>
        <w:spacing w:before="0" w:after="0" w:line="360" w:lineRule="auto"/>
        <w:ind w:firstLine="708"/>
        <w:jc w:val="both"/>
        <w:rPr>
          <w:sz w:val="22"/>
          <w:szCs w:val="22"/>
        </w:rPr>
      </w:pPr>
      <w:r>
        <w:rPr>
          <w:sz w:val="22"/>
          <w:szCs w:val="22"/>
        </w:rPr>
        <w:t>III – Pessoas com deficiência.</w:t>
      </w:r>
    </w:p>
    <w:p w14:paraId="3B4F7269">
      <w:pPr>
        <w:pStyle w:val="9"/>
        <w:spacing w:line="360" w:lineRule="auto"/>
        <w:jc w:val="both"/>
        <w:rPr>
          <w:sz w:val="22"/>
          <w:szCs w:val="22"/>
        </w:rPr>
      </w:pPr>
    </w:p>
    <w:p w14:paraId="71E4F172">
      <w:pPr>
        <w:pStyle w:val="10"/>
        <w:spacing w:before="0" w:after="0" w:line="360" w:lineRule="auto"/>
        <w:ind w:firstLine="708"/>
        <w:jc w:val="both"/>
        <w:rPr>
          <w:sz w:val="22"/>
          <w:szCs w:val="22"/>
        </w:rPr>
      </w:pPr>
      <w:r>
        <w:rPr>
          <w:sz w:val="22"/>
          <w:szCs w:val="22"/>
        </w:rPr>
        <w:t>A distribuição das vagas reservadas observará os percentuais mínimos previstos na Instrução Normativa MinC nº 10/2023, aplicados sobre o quantitativo de vagas de cada categoria, com as regras de arredondamento previstas na regulamentação aplicável.</w:t>
      </w:r>
    </w:p>
    <w:p w14:paraId="2B4656F2">
      <w:pPr>
        <w:pStyle w:val="10"/>
        <w:spacing w:before="0" w:after="0" w:line="360" w:lineRule="auto"/>
        <w:ind w:firstLine="708"/>
        <w:jc w:val="both"/>
        <w:rPr>
          <w:sz w:val="22"/>
          <w:szCs w:val="22"/>
        </w:rPr>
      </w:pPr>
      <w:r>
        <w:rPr>
          <w:sz w:val="22"/>
          <w:szCs w:val="22"/>
        </w:rPr>
        <w:t>Para concorrer às vagas reservadas, o agente cultural deverá apresentar autodeclaração, podendo esta ser realizada em formato escrito, audiovisual, sonoro, em Libras ou outro meio acessível.</w:t>
      </w:r>
    </w:p>
    <w:p w14:paraId="44825443">
      <w:pPr>
        <w:pStyle w:val="9"/>
        <w:spacing w:line="360" w:lineRule="auto"/>
        <w:jc w:val="both"/>
        <w:rPr>
          <w:sz w:val="22"/>
          <w:szCs w:val="22"/>
        </w:rPr>
      </w:pPr>
    </w:p>
    <w:p w14:paraId="56E759B7">
      <w:pPr>
        <w:pStyle w:val="10"/>
        <w:spacing w:before="0" w:after="0" w:line="360" w:lineRule="auto"/>
        <w:ind w:firstLine="708"/>
        <w:jc w:val="both"/>
        <w:rPr>
          <w:sz w:val="22"/>
          <w:szCs w:val="22"/>
        </w:rPr>
      </w:pPr>
      <w:r>
        <w:rPr>
          <w:sz w:val="22"/>
          <w:szCs w:val="22"/>
        </w:rPr>
        <w:t>As ações afirmativas previstas neste edital estão fundamentadas na Instrução Normativa MinC nº 10/2023, considerando a promoção da equidade e o enfrentamento das desigualdades no acesso às políticas públicas de cultura.</w:t>
      </w:r>
    </w:p>
    <w:p w14:paraId="0469B759">
      <w:pPr>
        <w:pStyle w:val="9"/>
        <w:spacing w:line="360" w:lineRule="auto"/>
        <w:jc w:val="both"/>
        <w:rPr>
          <w:sz w:val="22"/>
          <w:szCs w:val="22"/>
        </w:rPr>
      </w:pPr>
    </w:p>
    <w:p w14:paraId="66AB7A17">
      <w:pPr>
        <w:pStyle w:val="15"/>
        <w:spacing w:before="0" w:after="0" w:line="360" w:lineRule="auto"/>
        <w:ind w:firstLine="708"/>
        <w:jc w:val="both"/>
        <w:rPr>
          <w:sz w:val="22"/>
          <w:szCs w:val="22"/>
        </w:rPr>
      </w:pPr>
      <w:r>
        <w:rPr>
          <w:sz w:val="22"/>
          <w:szCs w:val="22"/>
        </w:rPr>
        <w:t>5.2. Concorrência concomitante</w:t>
      </w:r>
    </w:p>
    <w:p w14:paraId="5B77BD5D">
      <w:pPr>
        <w:pStyle w:val="10"/>
        <w:spacing w:before="0" w:after="0" w:line="360" w:lineRule="auto"/>
        <w:ind w:firstLine="708"/>
        <w:jc w:val="both"/>
        <w:rPr>
          <w:sz w:val="22"/>
          <w:szCs w:val="22"/>
        </w:rPr>
      </w:pPr>
      <w:r>
        <w:rPr>
          <w:sz w:val="22"/>
          <w:szCs w:val="22"/>
        </w:rPr>
        <w:t>Os agentes culturais que optarem por concorrer às cotas participarão simultaneamente das vagas destinadas à ampla concorrência e das vagas reservadas às cotas.</w:t>
      </w:r>
    </w:p>
    <w:p w14:paraId="2A44BEA6">
      <w:pPr>
        <w:pStyle w:val="10"/>
        <w:spacing w:before="0" w:after="0" w:line="360" w:lineRule="auto"/>
        <w:ind w:firstLine="708"/>
        <w:jc w:val="both"/>
        <w:rPr>
          <w:sz w:val="22"/>
          <w:szCs w:val="22"/>
        </w:rPr>
      </w:pPr>
      <w:r>
        <w:rPr>
          <w:sz w:val="22"/>
          <w:szCs w:val="22"/>
        </w:rPr>
        <w:t>Caso o proponente alcance pontuação suficiente para classificação na ampla concorrência, será automaticamente selecionado nessa modalidade, sem ocupar vaga reservada, que será destinada ao próximo candidato optante pela respectiva cota, conforme ordem de classificação.</w:t>
      </w:r>
    </w:p>
    <w:p w14:paraId="25228FD1">
      <w:pPr>
        <w:pStyle w:val="15"/>
        <w:spacing w:before="0" w:after="0" w:line="360" w:lineRule="auto"/>
        <w:ind w:firstLine="708"/>
        <w:jc w:val="both"/>
        <w:rPr>
          <w:sz w:val="22"/>
          <w:szCs w:val="22"/>
        </w:rPr>
      </w:pPr>
    </w:p>
    <w:p w14:paraId="42408D05">
      <w:pPr>
        <w:pStyle w:val="15"/>
        <w:spacing w:before="0" w:after="0" w:line="360" w:lineRule="auto"/>
        <w:ind w:firstLine="708"/>
        <w:jc w:val="both"/>
        <w:rPr>
          <w:sz w:val="22"/>
          <w:szCs w:val="22"/>
        </w:rPr>
      </w:pPr>
      <w:r>
        <w:rPr>
          <w:sz w:val="22"/>
          <w:szCs w:val="22"/>
        </w:rPr>
        <w:t>5.3. Desistência de optantes pelas cotas</w:t>
      </w:r>
    </w:p>
    <w:p w14:paraId="416EDA60">
      <w:pPr>
        <w:pStyle w:val="10"/>
        <w:spacing w:before="0" w:after="0" w:line="360" w:lineRule="auto"/>
        <w:ind w:firstLine="708"/>
        <w:jc w:val="both"/>
        <w:rPr>
          <w:sz w:val="22"/>
          <w:szCs w:val="22"/>
        </w:rPr>
      </w:pPr>
      <w:r>
        <w:rPr>
          <w:sz w:val="22"/>
          <w:szCs w:val="22"/>
        </w:rPr>
        <w:t>Em caso de desistência de proponente selecionado por meio das cotas, a vaga será preenchida por outro candidato optante, respeitando-se a ordem de classificação dentro da respectiva categoria.</w:t>
      </w:r>
    </w:p>
    <w:p w14:paraId="54BC5B62">
      <w:pPr>
        <w:pStyle w:val="9"/>
        <w:spacing w:line="360" w:lineRule="auto"/>
        <w:jc w:val="both"/>
        <w:rPr>
          <w:sz w:val="22"/>
          <w:szCs w:val="22"/>
        </w:rPr>
      </w:pPr>
    </w:p>
    <w:p w14:paraId="590A9584">
      <w:pPr>
        <w:pStyle w:val="15"/>
        <w:spacing w:before="0" w:after="0" w:line="360" w:lineRule="auto"/>
        <w:ind w:firstLine="708"/>
        <w:jc w:val="both"/>
        <w:rPr>
          <w:sz w:val="22"/>
          <w:szCs w:val="22"/>
        </w:rPr>
      </w:pPr>
      <w:r>
        <w:rPr>
          <w:sz w:val="22"/>
          <w:szCs w:val="22"/>
        </w:rPr>
        <w:t>5.4. Remanejamento das cotas</w:t>
      </w:r>
    </w:p>
    <w:p w14:paraId="0616DDC5">
      <w:pPr>
        <w:pStyle w:val="10"/>
        <w:spacing w:before="0" w:after="0" w:line="360" w:lineRule="auto"/>
        <w:ind w:firstLine="708"/>
        <w:jc w:val="both"/>
        <w:rPr>
          <w:sz w:val="22"/>
          <w:szCs w:val="22"/>
        </w:rPr>
      </w:pPr>
      <w:r>
        <w:rPr>
          <w:sz w:val="22"/>
          <w:szCs w:val="22"/>
        </w:rPr>
        <w:t>Na hipótese de não haver número suficiente de propostas aptas para o preenchimento das vagas reservadas às ações afirmativas, as vagas remanescentes serão remanejadas conforme os seguintes critérios:</w:t>
      </w:r>
    </w:p>
    <w:p w14:paraId="364688DD">
      <w:pPr>
        <w:pStyle w:val="9"/>
        <w:spacing w:line="360" w:lineRule="auto"/>
        <w:jc w:val="both"/>
        <w:rPr>
          <w:sz w:val="22"/>
          <w:szCs w:val="22"/>
        </w:rPr>
      </w:pPr>
    </w:p>
    <w:p w14:paraId="4AFD45E6">
      <w:pPr>
        <w:pStyle w:val="10"/>
        <w:spacing w:before="0" w:after="0" w:line="360" w:lineRule="auto"/>
        <w:ind w:left="708"/>
        <w:jc w:val="both"/>
        <w:rPr>
          <w:sz w:val="22"/>
          <w:szCs w:val="22"/>
        </w:rPr>
      </w:pPr>
      <w:r>
        <w:rPr>
          <w:sz w:val="22"/>
          <w:szCs w:val="22"/>
        </w:rPr>
        <w:t>I – Prioritariamente destinadas a proponentes de outras categorias de cotas, respeitada a ordem de classificação;</w:t>
      </w:r>
    </w:p>
    <w:p w14:paraId="5A57E044">
      <w:pPr>
        <w:pStyle w:val="10"/>
        <w:spacing w:before="0" w:after="0" w:line="360" w:lineRule="auto"/>
        <w:ind w:left="708"/>
        <w:jc w:val="both"/>
        <w:rPr>
          <w:sz w:val="22"/>
          <w:szCs w:val="22"/>
        </w:rPr>
      </w:pPr>
      <w:r>
        <w:rPr>
          <w:sz w:val="22"/>
          <w:szCs w:val="22"/>
        </w:rPr>
        <w:t>II – Persistindo a insuficiência de propostas aptas nas categorias de cotas, as vagas remanescentes serão destinadas à ampla concorrência, observada a ordem de classificação geral dos projetos.</w:t>
      </w:r>
    </w:p>
    <w:p w14:paraId="78437554">
      <w:pPr>
        <w:pStyle w:val="9"/>
        <w:spacing w:line="360" w:lineRule="auto"/>
        <w:jc w:val="both"/>
        <w:rPr>
          <w:sz w:val="22"/>
          <w:szCs w:val="22"/>
        </w:rPr>
      </w:pPr>
    </w:p>
    <w:p w14:paraId="4EF9158B">
      <w:pPr>
        <w:pStyle w:val="15"/>
        <w:spacing w:before="0" w:after="0" w:line="360" w:lineRule="auto"/>
        <w:ind w:firstLine="708"/>
        <w:jc w:val="both"/>
        <w:rPr>
          <w:sz w:val="22"/>
          <w:szCs w:val="22"/>
        </w:rPr>
      </w:pPr>
      <w:r>
        <w:rPr>
          <w:sz w:val="22"/>
          <w:szCs w:val="22"/>
        </w:rPr>
        <w:t>5.5. Procedimentos complementares de verificação</w:t>
      </w:r>
    </w:p>
    <w:p w14:paraId="44BC636A">
      <w:pPr>
        <w:pStyle w:val="10"/>
        <w:spacing w:before="0" w:after="0" w:line="360" w:lineRule="auto"/>
        <w:ind w:firstLine="708"/>
        <w:jc w:val="both"/>
        <w:rPr>
          <w:sz w:val="22"/>
          <w:szCs w:val="22"/>
        </w:rPr>
      </w:pPr>
      <w:r>
        <w:rPr>
          <w:sz w:val="22"/>
          <w:szCs w:val="22"/>
        </w:rPr>
        <w:t>A Comissão poderá adotar procedimentos complementares de verificação, conforme previsto na Instrução Normativa MinC nº 10/2023, utilizando, de forma isolada ou cumulativa, os seguintes mecanismos:</w:t>
      </w:r>
    </w:p>
    <w:p w14:paraId="25223019">
      <w:pPr>
        <w:pStyle w:val="10"/>
        <w:spacing w:before="0" w:after="0" w:line="360" w:lineRule="auto"/>
        <w:ind w:left="708"/>
        <w:jc w:val="both"/>
        <w:rPr>
          <w:sz w:val="22"/>
          <w:szCs w:val="22"/>
        </w:rPr>
      </w:pPr>
      <w:r>
        <w:rPr>
          <w:sz w:val="22"/>
          <w:szCs w:val="22"/>
        </w:rPr>
        <w:t>I – Heteroidentificação, para validação da autodeclaração de pessoas negras, realizada por banca composta por membros com formação e/ou experiência na temática racial;</w:t>
      </w:r>
    </w:p>
    <w:p w14:paraId="181E24CD">
      <w:pPr>
        <w:pStyle w:val="10"/>
        <w:spacing w:before="0" w:after="0" w:line="360" w:lineRule="auto"/>
        <w:ind w:left="708"/>
        <w:jc w:val="both"/>
        <w:rPr>
          <w:sz w:val="22"/>
          <w:szCs w:val="22"/>
        </w:rPr>
      </w:pPr>
      <w:r>
        <w:rPr>
          <w:sz w:val="22"/>
          <w:szCs w:val="22"/>
        </w:rPr>
        <w:t>II – Carta consubstanciada, em formato escrito, oral ou audiovisual, contendo relato fundamentado sobre pertencimento étnico-racial ou identitário;</w:t>
      </w:r>
    </w:p>
    <w:p w14:paraId="7C13D109">
      <w:pPr>
        <w:pStyle w:val="10"/>
        <w:spacing w:before="0" w:after="0" w:line="360" w:lineRule="auto"/>
        <w:ind w:left="708"/>
        <w:jc w:val="both"/>
        <w:rPr>
          <w:sz w:val="22"/>
          <w:szCs w:val="22"/>
        </w:rPr>
      </w:pPr>
      <w:r>
        <w:rPr>
          <w:sz w:val="22"/>
          <w:szCs w:val="22"/>
        </w:rPr>
        <w:t>III – Comprovação de pertencimento indígena, mediante declaração emitida por liderança, comunidade ou entidade representativa indígena, podendo a Comissão realizar diligências para confirmação das informações;</w:t>
      </w:r>
    </w:p>
    <w:p w14:paraId="674019A3">
      <w:pPr>
        <w:pStyle w:val="10"/>
        <w:spacing w:before="0" w:after="0" w:line="360" w:lineRule="auto"/>
        <w:ind w:left="708"/>
        <w:jc w:val="both"/>
        <w:rPr>
          <w:sz w:val="22"/>
          <w:szCs w:val="22"/>
        </w:rPr>
      </w:pPr>
      <w:r>
        <w:rPr>
          <w:sz w:val="22"/>
          <w:szCs w:val="22"/>
        </w:rPr>
        <w:t>IV – Verificação da condição de pessoa com deficiência, mediante apresentação de documentação comprobatória, tais como laudo médico, Certificado da Pessoa com Deficiência, comprovante de Benefício de Prestação Continuada – BPC ou, quando necessário, avaliação biopsicossocial, nos termos da legislação vigente;</w:t>
      </w:r>
    </w:p>
    <w:p w14:paraId="6BFFA4C1">
      <w:pPr>
        <w:pStyle w:val="10"/>
        <w:spacing w:before="0" w:after="0" w:line="360" w:lineRule="auto"/>
        <w:ind w:left="708"/>
        <w:jc w:val="both"/>
        <w:rPr>
          <w:sz w:val="22"/>
          <w:szCs w:val="22"/>
        </w:rPr>
      </w:pPr>
      <w:r>
        <w:rPr>
          <w:sz w:val="22"/>
          <w:szCs w:val="22"/>
        </w:rPr>
        <w:t>V – Diligências complementares, sempre que houver dúvida razoável quanto à veracidade da autodeclaração.</w:t>
      </w:r>
    </w:p>
    <w:p w14:paraId="49606DCF">
      <w:pPr>
        <w:pStyle w:val="9"/>
        <w:spacing w:line="360" w:lineRule="auto"/>
        <w:jc w:val="both"/>
        <w:rPr>
          <w:sz w:val="22"/>
          <w:szCs w:val="22"/>
        </w:rPr>
      </w:pPr>
    </w:p>
    <w:p w14:paraId="1361750B">
      <w:pPr>
        <w:pStyle w:val="15"/>
        <w:spacing w:before="0" w:after="0" w:line="360" w:lineRule="auto"/>
        <w:ind w:firstLine="708"/>
        <w:jc w:val="both"/>
        <w:rPr>
          <w:sz w:val="22"/>
          <w:szCs w:val="22"/>
        </w:rPr>
      </w:pPr>
      <w:r>
        <w:rPr>
          <w:sz w:val="22"/>
          <w:szCs w:val="22"/>
        </w:rPr>
        <w:t>5.6. Aplicação das cotas para pessoas jurídicas e coletivos</w:t>
      </w:r>
    </w:p>
    <w:p w14:paraId="1CD3EE7B">
      <w:pPr>
        <w:pStyle w:val="10"/>
        <w:spacing w:before="0" w:after="0" w:line="360" w:lineRule="auto"/>
        <w:ind w:firstLine="708"/>
        <w:jc w:val="both"/>
        <w:rPr>
          <w:sz w:val="22"/>
          <w:szCs w:val="22"/>
        </w:rPr>
      </w:pPr>
      <w:r>
        <w:rPr>
          <w:sz w:val="22"/>
          <w:szCs w:val="22"/>
        </w:rPr>
        <w:t>Pessoas jurídicas e coletivos sem CNPJ poderão concorrer às cotas, desde que comprovem a participação de pessoas negras, indígenas ou com deficiência, conforme uma das seguintes condições:</w:t>
      </w:r>
    </w:p>
    <w:p w14:paraId="0970A31A">
      <w:pPr>
        <w:pStyle w:val="9"/>
        <w:spacing w:line="360" w:lineRule="auto"/>
        <w:jc w:val="both"/>
        <w:rPr>
          <w:sz w:val="22"/>
          <w:szCs w:val="22"/>
        </w:rPr>
      </w:pPr>
    </w:p>
    <w:p w14:paraId="412DDBAF">
      <w:pPr>
        <w:pStyle w:val="10"/>
        <w:spacing w:before="0" w:after="0" w:line="360" w:lineRule="auto"/>
        <w:ind w:left="708"/>
        <w:jc w:val="both"/>
        <w:rPr>
          <w:sz w:val="22"/>
          <w:szCs w:val="22"/>
        </w:rPr>
      </w:pPr>
      <w:r>
        <w:rPr>
          <w:sz w:val="22"/>
          <w:szCs w:val="22"/>
        </w:rPr>
        <w:t>I – Composição societária majoritária formada por pessoas pertencentes às categorias de cotas;</w:t>
      </w:r>
    </w:p>
    <w:p w14:paraId="3390FA02">
      <w:pPr>
        <w:pStyle w:val="10"/>
        <w:spacing w:before="0" w:after="0" w:line="360" w:lineRule="auto"/>
        <w:ind w:left="708"/>
        <w:jc w:val="both"/>
        <w:rPr>
          <w:sz w:val="22"/>
          <w:szCs w:val="22"/>
        </w:rPr>
      </w:pPr>
      <w:r>
        <w:rPr>
          <w:sz w:val="22"/>
          <w:szCs w:val="22"/>
        </w:rPr>
        <w:t>II – Presença de pessoas pertencentes às categorias de cotas em funções de liderança no projeto;</w:t>
      </w:r>
    </w:p>
    <w:p w14:paraId="6987174D">
      <w:pPr>
        <w:pStyle w:val="10"/>
        <w:spacing w:before="0" w:after="0" w:line="360" w:lineRule="auto"/>
        <w:ind w:left="708"/>
        <w:jc w:val="both"/>
        <w:rPr>
          <w:sz w:val="22"/>
          <w:szCs w:val="22"/>
        </w:rPr>
      </w:pPr>
      <w:r>
        <w:rPr>
          <w:sz w:val="22"/>
          <w:szCs w:val="22"/>
        </w:rPr>
        <w:t>III – Equipe do projeto composta majoritariamente por pessoas pertencentes às categorias de cotas;</w:t>
      </w:r>
    </w:p>
    <w:p w14:paraId="5391EE8B">
      <w:pPr>
        <w:pStyle w:val="10"/>
        <w:spacing w:before="0" w:after="0" w:line="360" w:lineRule="auto"/>
        <w:ind w:left="708"/>
        <w:jc w:val="both"/>
        <w:rPr>
          <w:sz w:val="22"/>
          <w:szCs w:val="22"/>
        </w:rPr>
      </w:pPr>
      <w:r>
        <w:rPr>
          <w:sz w:val="22"/>
          <w:szCs w:val="22"/>
        </w:rPr>
        <w:t>IV – Outras formas que evidenciem o protagonismo desses grupos na execução da proposta cultural.</w:t>
      </w:r>
    </w:p>
    <w:p w14:paraId="20791CD8">
      <w:pPr>
        <w:pStyle w:val="9"/>
        <w:spacing w:line="360" w:lineRule="auto"/>
        <w:jc w:val="both"/>
      </w:pPr>
    </w:p>
    <w:p w14:paraId="615455D8">
      <w:pPr>
        <w:pStyle w:val="10"/>
        <w:spacing w:before="0" w:after="0" w:line="360" w:lineRule="auto"/>
        <w:ind w:firstLine="708"/>
        <w:jc w:val="both"/>
        <w:rPr>
          <w:sz w:val="22"/>
          <w:szCs w:val="22"/>
        </w:rPr>
      </w:pPr>
      <w:r>
        <w:rPr>
          <w:sz w:val="22"/>
          <w:szCs w:val="22"/>
        </w:rPr>
        <w:t>As pessoas físicas integrantes da pessoa jurídica ou coletivo deverão apresentar autodeclaração individual, conforme modelos constantes nos Anexos VII e VIII.</w:t>
      </w:r>
    </w:p>
    <w:p w14:paraId="7B6E3554">
      <w:pPr>
        <w:pStyle w:val="9"/>
        <w:spacing w:line="360" w:lineRule="auto"/>
        <w:jc w:val="both"/>
        <w:rPr>
          <w:sz w:val="22"/>
          <w:szCs w:val="22"/>
        </w:rPr>
      </w:pPr>
    </w:p>
    <w:p w14:paraId="4E00CD01">
      <w:pPr>
        <w:pStyle w:val="10"/>
        <w:spacing w:before="0" w:after="0" w:line="360" w:lineRule="auto"/>
        <w:ind w:firstLine="708"/>
        <w:jc w:val="both"/>
        <w:rPr>
          <w:sz w:val="22"/>
          <w:szCs w:val="22"/>
        </w:rPr>
      </w:pPr>
      <w:r>
        <w:rPr>
          <w:sz w:val="22"/>
          <w:szCs w:val="22"/>
        </w:rPr>
        <w:t>Os integrantes da equipe vinculados às cotas estarão sujeitos aos procedimentos complementares de verificação previstos neste edital, no que couber.</w:t>
      </w:r>
    </w:p>
    <w:p w14:paraId="34FA4935">
      <w:pPr>
        <w:pStyle w:val="9"/>
        <w:spacing w:line="360" w:lineRule="auto"/>
        <w:jc w:val="both"/>
        <w:rPr>
          <w:sz w:val="22"/>
          <w:szCs w:val="22"/>
        </w:rPr>
      </w:pPr>
    </w:p>
    <w:p w14:paraId="212473CF">
      <w:pPr>
        <w:pStyle w:val="9"/>
        <w:spacing w:line="360" w:lineRule="auto"/>
        <w:jc w:val="both"/>
        <w:rPr>
          <w:sz w:val="22"/>
          <w:szCs w:val="22"/>
        </w:rPr>
      </w:pPr>
      <w:r>
        <w:rPr>
          <w:sz w:val="22"/>
          <w:szCs w:val="22"/>
        </w:rPr>
        <w:t>______________________________________</w:t>
      </w:r>
    </w:p>
    <w:p w14:paraId="24B39DFB">
      <w:pPr>
        <w:pStyle w:val="14"/>
        <w:spacing w:before="0" w:after="0" w:line="360" w:lineRule="auto"/>
        <w:jc w:val="both"/>
        <w:rPr>
          <w:sz w:val="22"/>
          <w:szCs w:val="22"/>
        </w:rPr>
      </w:pPr>
      <w:r>
        <w:rPr>
          <w:sz w:val="22"/>
          <w:szCs w:val="22"/>
        </w:rPr>
        <w:t>6. COMO ELABORAR O PROJETO – PLANO DE TRABALHO</w:t>
      </w:r>
    </w:p>
    <w:p w14:paraId="5DF7C819">
      <w:pPr>
        <w:pStyle w:val="15"/>
        <w:spacing w:before="0" w:after="0" w:line="360" w:lineRule="auto"/>
        <w:jc w:val="both"/>
        <w:rPr>
          <w:sz w:val="22"/>
          <w:szCs w:val="22"/>
        </w:rPr>
      </w:pPr>
    </w:p>
    <w:p w14:paraId="19C06533">
      <w:pPr>
        <w:pStyle w:val="15"/>
        <w:spacing w:before="0" w:after="0" w:line="360" w:lineRule="auto"/>
        <w:ind w:firstLine="708"/>
        <w:jc w:val="both"/>
        <w:rPr>
          <w:sz w:val="22"/>
          <w:szCs w:val="22"/>
        </w:rPr>
      </w:pPr>
      <w:r>
        <w:rPr>
          <w:sz w:val="22"/>
          <w:szCs w:val="22"/>
        </w:rPr>
        <w:t>6.1. Preenchimento do modelo</w:t>
      </w:r>
    </w:p>
    <w:p w14:paraId="04F72627">
      <w:pPr>
        <w:pStyle w:val="10"/>
        <w:spacing w:before="0" w:after="0" w:line="360" w:lineRule="auto"/>
        <w:jc w:val="both"/>
        <w:rPr>
          <w:sz w:val="22"/>
          <w:szCs w:val="22"/>
        </w:rPr>
      </w:pPr>
      <w:r>
        <w:rPr>
          <w:sz w:val="22"/>
          <w:szCs w:val="22"/>
        </w:rPr>
        <w:t>O agente cultural deve preencher o Anexo II – Formulário de Inscrição e Plano de Trabalho, documento que contém a ficha de inscrição, a descrição do projeto, o cronograma de execução e a planilha orçamentária.</w:t>
      </w:r>
    </w:p>
    <w:p w14:paraId="187F6ABB">
      <w:pPr>
        <w:pStyle w:val="9"/>
        <w:spacing w:line="360" w:lineRule="auto"/>
        <w:jc w:val="both"/>
        <w:rPr>
          <w:sz w:val="22"/>
          <w:szCs w:val="22"/>
        </w:rPr>
      </w:pPr>
    </w:p>
    <w:p w14:paraId="6B2E4320">
      <w:pPr>
        <w:pStyle w:val="10"/>
        <w:spacing w:before="0" w:after="0" w:line="360" w:lineRule="auto"/>
        <w:ind w:firstLine="708"/>
        <w:jc w:val="both"/>
        <w:rPr>
          <w:sz w:val="22"/>
          <w:szCs w:val="22"/>
        </w:rPr>
      </w:pPr>
      <w:r>
        <w:rPr>
          <w:sz w:val="22"/>
          <w:szCs w:val="22"/>
        </w:rPr>
        <w:t>O agente cultural será o único responsável pela veracidade do projeto e dos documentos encaminhados, sem prejuízo da responsabilidade administrativa, civil e penal cabível em caso de informações falsas.</w:t>
      </w:r>
    </w:p>
    <w:p w14:paraId="68D20F7E">
      <w:pPr>
        <w:pStyle w:val="9"/>
        <w:spacing w:line="360" w:lineRule="auto"/>
        <w:jc w:val="both"/>
        <w:rPr>
          <w:sz w:val="22"/>
          <w:szCs w:val="22"/>
        </w:rPr>
      </w:pPr>
    </w:p>
    <w:p w14:paraId="5DA95221">
      <w:pPr>
        <w:pStyle w:val="15"/>
        <w:spacing w:before="0" w:after="0" w:line="360" w:lineRule="auto"/>
        <w:ind w:firstLine="708"/>
        <w:jc w:val="both"/>
        <w:rPr>
          <w:sz w:val="22"/>
          <w:szCs w:val="22"/>
        </w:rPr>
      </w:pPr>
      <w:r>
        <w:rPr>
          <w:sz w:val="22"/>
          <w:szCs w:val="22"/>
        </w:rPr>
        <w:t>6.2. Previsão de execução do projeto</w:t>
      </w:r>
    </w:p>
    <w:p w14:paraId="43C09168">
      <w:pPr>
        <w:pStyle w:val="10"/>
        <w:spacing w:before="0" w:after="0" w:line="360" w:lineRule="auto"/>
        <w:ind w:firstLine="708"/>
        <w:jc w:val="both"/>
        <w:rPr>
          <w:sz w:val="22"/>
          <w:szCs w:val="22"/>
        </w:rPr>
      </w:pPr>
      <w:r>
        <w:rPr>
          <w:sz w:val="22"/>
          <w:szCs w:val="22"/>
        </w:rPr>
        <w:t>Os projetos apresentados deverão observar o período de execução previsto no cronograma deste edital e no Termo de Execução Cultural, devendo ser concluídos até 31 de julho de 2027.</w:t>
      </w:r>
    </w:p>
    <w:p w14:paraId="4D971F51">
      <w:pPr>
        <w:pStyle w:val="9"/>
        <w:spacing w:line="360" w:lineRule="auto"/>
        <w:jc w:val="both"/>
        <w:rPr>
          <w:sz w:val="22"/>
          <w:szCs w:val="22"/>
        </w:rPr>
      </w:pPr>
    </w:p>
    <w:p w14:paraId="39994CC7">
      <w:pPr>
        <w:pStyle w:val="15"/>
        <w:spacing w:before="0" w:after="0" w:line="360" w:lineRule="auto"/>
        <w:ind w:firstLine="708"/>
        <w:jc w:val="both"/>
        <w:rPr>
          <w:sz w:val="22"/>
          <w:szCs w:val="22"/>
        </w:rPr>
      </w:pPr>
      <w:r>
        <w:rPr>
          <w:sz w:val="22"/>
          <w:szCs w:val="22"/>
        </w:rPr>
        <w:t>6.3. Custos do projeto</w:t>
      </w:r>
    </w:p>
    <w:p w14:paraId="49234CC7">
      <w:pPr>
        <w:pStyle w:val="10"/>
        <w:spacing w:before="0" w:after="0" w:line="360" w:lineRule="auto"/>
        <w:ind w:firstLine="708"/>
        <w:jc w:val="both"/>
        <w:rPr>
          <w:sz w:val="22"/>
          <w:szCs w:val="22"/>
        </w:rPr>
      </w:pPr>
      <w:r>
        <w:rPr>
          <w:sz w:val="22"/>
          <w:szCs w:val="22"/>
        </w:rPr>
        <w:t xml:space="preserve">O agente cultural deve preencher a planilha orçamentária constante no </w:t>
      </w:r>
      <w:r>
        <w:rPr>
          <w:b/>
          <w:bCs/>
          <w:sz w:val="22"/>
          <w:szCs w:val="22"/>
        </w:rPr>
        <w:t>Anexo II,</w:t>
      </w:r>
      <w:r>
        <w:rPr>
          <w:sz w:val="22"/>
          <w:szCs w:val="22"/>
        </w:rPr>
        <w:t xml:space="preserve"> indicando os custos do projeto por categoria de despesa, acompanhados de valores condizentes com as práticas de mercado, podendo informar a referência de preço utilizada de acordo com as características e realidades do projeto.</w:t>
      </w:r>
    </w:p>
    <w:p w14:paraId="7F34EEC9">
      <w:pPr>
        <w:pStyle w:val="10"/>
        <w:spacing w:before="0" w:after="0" w:line="360" w:lineRule="auto"/>
        <w:ind w:firstLine="708"/>
        <w:jc w:val="both"/>
        <w:rPr>
          <w:sz w:val="22"/>
          <w:szCs w:val="22"/>
        </w:rPr>
      </w:pPr>
      <w:r>
        <w:rPr>
          <w:sz w:val="22"/>
          <w:szCs w:val="22"/>
        </w:rPr>
        <w:t>O projeto poderá apresentar valores divergentes das práticas de mercado convencionais quando houver significativa excepcionalidade no contexto de sua implementação, consideradas variáveis territoriais, geográficas, socioculturais e situações específicas de povos, comunidades e grupos tradicionais.</w:t>
      </w:r>
    </w:p>
    <w:p w14:paraId="685C097B">
      <w:pPr>
        <w:pStyle w:val="10"/>
        <w:spacing w:before="0" w:after="0" w:line="360" w:lineRule="auto"/>
        <w:ind w:firstLine="708"/>
        <w:jc w:val="both"/>
        <w:rPr>
          <w:b/>
          <w:bCs/>
          <w:sz w:val="22"/>
          <w:szCs w:val="22"/>
        </w:rPr>
      </w:pPr>
      <w:r>
        <w:rPr>
          <w:sz w:val="22"/>
          <w:szCs w:val="22"/>
        </w:rPr>
        <w:t xml:space="preserve">O valor solicitado não poderá ser superior ao valor máximo destinado a cada projeto, conforme </w:t>
      </w:r>
      <w:r>
        <w:rPr>
          <w:b/>
          <w:bCs/>
          <w:sz w:val="22"/>
          <w:szCs w:val="22"/>
        </w:rPr>
        <w:t>Anexo I.</w:t>
      </w:r>
    </w:p>
    <w:p w14:paraId="381E10ED">
      <w:pPr>
        <w:pStyle w:val="10"/>
        <w:spacing w:before="0" w:after="0" w:line="360" w:lineRule="auto"/>
        <w:ind w:firstLine="708"/>
        <w:jc w:val="both"/>
        <w:rPr>
          <w:sz w:val="22"/>
          <w:szCs w:val="22"/>
        </w:rPr>
      </w:pPr>
      <w:r>
        <w:rPr>
          <w:sz w:val="22"/>
          <w:szCs w:val="22"/>
        </w:rPr>
        <w:t>O apoio concedido por meio deste edital poderá ser acumulado com recursos captados por leis de incentivo fiscal, patrocínio direto privado e outros programas ou apoios federais, estaduais e municipais, vedada a duplicidade ou a sobreposição de fontes de recursos no custeio do mesmo item de despesa.</w:t>
      </w:r>
    </w:p>
    <w:p w14:paraId="57AB2802">
      <w:pPr>
        <w:pStyle w:val="10"/>
        <w:spacing w:before="0" w:after="0" w:line="360" w:lineRule="auto"/>
        <w:ind w:firstLine="708"/>
        <w:jc w:val="both"/>
        <w:rPr>
          <w:sz w:val="22"/>
          <w:szCs w:val="22"/>
        </w:rPr>
      </w:pPr>
      <w:r>
        <w:rPr>
          <w:sz w:val="22"/>
          <w:szCs w:val="22"/>
        </w:rPr>
        <w:t>Em caso de cobrança de ingresso ou venda de produtos, os recursos provenientes deverão ser revertidos ao próprio projeto, devendo ser apresentada na planilha orçamentária a previsão de arrecadação e a indicação dos itens que serão custeados com esse recurso.</w:t>
      </w:r>
    </w:p>
    <w:p w14:paraId="5C2AC8A4">
      <w:pPr>
        <w:pStyle w:val="9"/>
        <w:spacing w:line="360" w:lineRule="auto"/>
        <w:jc w:val="both"/>
        <w:rPr>
          <w:sz w:val="22"/>
          <w:szCs w:val="22"/>
        </w:rPr>
      </w:pPr>
    </w:p>
    <w:p w14:paraId="70601557">
      <w:pPr>
        <w:pStyle w:val="15"/>
        <w:spacing w:before="0" w:after="0" w:line="360" w:lineRule="auto"/>
        <w:ind w:firstLine="708"/>
        <w:jc w:val="both"/>
        <w:rPr>
          <w:sz w:val="22"/>
          <w:szCs w:val="22"/>
        </w:rPr>
      </w:pPr>
      <w:r>
        <w:rPr>
          <w:sz w:val="22"/>
          <w:szCs w:val="22"/>
        </w:rPr>
        <w:t>6.4. Recursos de acessibilidade</w:t>
      </w:r>
    </w:p>
    <w:p w14:paraId="311F9BAC">
      <w:pPr>
        <w:pStyle w:val="10"/>
        <w:spacing w:before="0" w:after="0" w:line="360" w:lineRule="auto"/>
        <w:ind w:firstLine="708"/>
        <w:jc w:val="both"/>
        <w:rPr>
          <w:sz w:val="22"/>
          <w:szCs w:val="22"/>
        </w:rPr>
      </w:pPr>
      <w:r>
        <w:rPr>
          <w:sz w:val="22"/>
          <w:szCs w:val="22"/>
        </w:rPr>
        <w:t>Os projetos deverão prever e assegurar a implementação de medidas de acessibilidade física, comunicacional e atitudinal, compatíveis com suas características, em conformidade com a Lei nº 13.146/2015 – Lei Brasileira de Inclusão da Pessoa com Deficiência.</w:t>
      </w:r>
    </w:p>
    <w:p w14:paraId="24A3F312">
      <w:pPr>
        <w:pStyle w:val="9"/>
        <w:spacing w:line="360" w:lineRule="auto"/>
        <w:jc w:val="both"/>
        <w:rPr>
          <w:sz w:val="22"/>
          <w:szCs w:val="22"/>
        </w:rPr>
      </w:pPr>
    </w:p>
    <w:p w14:paraId="40B0CE5C">
      <w:pPr>
        <w:pStyle w:val="10"/>
        <w:spacing w:before="0" w:after="0" w:line="360" w:lineRule="auto"/>
        <w:ind w:firstLine="708"/>
        <w:jc w:val="both"/>
        <w:rPr>
          <w:sz w:val="22"/>
          <w:szCs w:val="22"/>
        </w:rPr>
      </w:pPr>
      <w:r>
        <w:rPr>
          <w:sz w:val="22"/>
          <w:szCs w:val="22"/>
        </w:rPr>
        <w:t>As propostas deverão demonstrar, de forma clara no Plano de Trabalho, as estratégias adotadas para garantir o acesso, a fruição e a participação de pessoas com deficiência.</w:t>
      </w:r>
    </w:p>
    <w:p w14:paraId="5723620A">
      <w:pPr>
        <w:pStyle w:val="10"/>
        <w:spacing w:before="0" w:after="0" w:line="360" w:lineRule="auto"/>
        <w:jc w:val="both"/>
        <w:rPr>
          <w:sz w:val="22"/>
          <w:szCs w:val="22"/>
        </w:rPr>
      </w:pPr>
    </w:p>
    <w:p w14:paraId="6AAA6A5B">
      <w:pPr>
        <w:pStyle w:val="10"/>
        <w:spacing w:before="0" w:after="0" w:line="360" w:lineRule="auto"/>
        <w:jc w:val="both"/>
        <w:rPr>
          <w:sz w:val="22"/>
          <w:szCs w:val="22"/>
        </w:rPr>
      </w:pPr>
      <w:r>
        <w:rPr>
          <w:sz w:val="22"/>
          <w:szCs w:val="22"/>
        </w:rPr>
        <w:t>Consideram-se, para fins deste edital, medidas de acessibilidade:</w:t>
      </w:r>
    </w:p>
    <w:p w14:paraId="0E448A2B">
      <w:pPr>
        <w:pStyle w:val="10"/>
        <w:spacing w:before="0" w:after="0" w:line="360" w:lineRule="auto"/>
        <w:ind w:left="708"/>
        <w:jc w:val="both"/>
        <w:rPr>
          <w:sz w:val="22"/>
          <w:szCs w:val="22"/>
        </w:rPr>
      </w:pPr>
      <w:r>
        <w:rPr>
          <w:sz w:val="22"/>
          <w:szCs w:val="22"/>
        </w:rPr>
        <w:t>I – Acessibilidade arquitetônica: adequações que permitam o acesso de pessoas com mobilidade reduzida ou idosas aos espaços de realização das atividades culturais, incluindo áreas de circulação, sanitários, áreas de alimentação e demais ambientes de uso público;</w:t>
      </w:r>
    </w:p>
    <w:p w14:paraId="0FCD325F">
      <w:pPr>
        <w:pStyle w:val="10"/>
        <w:spacing w:before="0" w:after="0" w:line="360" w:lineRule="auto"/>
        <w:ind w:left="708"/>
        <w:jc w:val="both"/>
        <w:rPr>
          <w:sz w:val="22"/>
          <w:szCs w:val="22"/>
        </w:rPr>
      </w:pPr>
      <w:r>
        <w:rPr>
          <w:sz w:val="22"/>
          <w:szCs w:val="22"/>
        </w:rPr>
        <w:t>II – Acessibilidade comunicacional: recursos que assegurem o acesso ao conteúdo das ações culturais por pessoas com deficiência, especialmente auditiva, visual ou intelectual, tais como legendas, Libras, audiodescrição, materiais acessíveis e outras tecnologias assistivas;</w:t>
      </w:r>
    </w:p>
    <w:p w14:paraId="2B0827B7">
      <w:pPr>
        <w:pStyle w:val="10"/>
        <w:spacing w:before="0" w:after="0" w:line="360" w:lineRule="auto"/>
        <w:ind w:left="708"/>
        <w:jc w:val="both"/>
        <w:rPr>
          <w:sz w:val="22"/>
          <w:szCs w:val="22"/>
        </w:rPr>
      </w:pPr>
      <w:r>
        <w:rPr>
          <w:sz w:val="22"/>
          <w:szCs w:val="22"/>
        </w:rPr>
        <w:t>III – Acessibilidade atitudinal: ações voltadas à eliminação de barreiras comportamentais, incluindo formação e sensibilização das equipes, bem como adoção de práticas inclusivas desde a concepção até a execução do projeto.</w:t>
      </w:r>
    </w:p>
    <w:p w14:paraId="72E872F7">
      <w:pPr>
        <w:pStyle w:val="9"/>
        <w:spacing w:line="360" w:lineRule="auto"/>
        <w:jc w:val="both"/>
        <w:rPr>
          <w:sz w:val="22"/>
          <w:szCs w:val="22"/>
        </w:rPr>
      </w:pPr>
    </w:p>
    <w:p w14:paraId="5A8F659D">
      <w:pPr>
        <w:pStyle w:val="10"/>
        <w:spacing w:before="0" w:after="0" w:line="360" w:lineRule="auto"/>
        <w:ind w:firstLine="708"/>
        <w:jc w:val="both"/>
        <w:rPr>
          <w:sz w:val="22"/>
          <w:szCs w:val="22"/>
        </w:rPr>
      </w:pPr>
      <w:r>
        <w:rPr>
          <w:sz w:val="22"/>
          <w:szCs w:val="22"/>
        </w:rPr>
        <w:t>Os projetos deverão, sempre que possível, incorporar estratégias de protagonismo e participação de pessoas com deficiência.</w:t>
      </w:r>
    </w:p>
    <w:p w14:paraId="346466AA">
      <w:pPr>
        <w:pStyle w:val="10"/>
        <w:spacing w:before="0" w:after="0" w:line="360" w:lineRule="auto"/>
        <w:ind w:firstLine="708"/>
        <w:jc w:val="both"/>
        <w:rPr>
          <w:sz w:val="22"/>
          <w:szCs w:val="22"/>
        </w:rPr>
      </w:pPr>
      <w:r>
        <w:rPr>
          <w:sz w:val="22"/>
          <w:szCs w:val="22"/>
        </w:rPr>
        <w:t>O não atendimento às exigências de acessibilidade poderá impactar a avaliação do projeto, conforme critérios estabelecidos neste edital e no Anexo III.</w:t>
      </w:r>
    </w:p>
    <w:p w14:paraId="0AC352C4">
      <w:pPr>
        <w:pStyle w:val="9"/>
        <w:spacing w:line="360" w:lineRule="auto"/>
        <w:jc w:val="both"/>
        <w:rPr>
          <w:sz w:val="22"/>
          <w:szCs w:val="22"/>
        </w:rPr>
      </w:pPr>
    </w:p>
    <w:p w14:paraId="7069B93D">
      <w:pPr>
        <w:pStyle w:val="9"/>
        <w:spacing w:line="360" w:lineRule="auto"/>
        <w:jc w:val="both"/>
        <w:rPr>
          <w:sz w:val="22"/>
          <w:szCs w:val="22"/>
        </w:rPr>
      </w:pPr>
      <w:r>
        <w:rPr>
          <w:sz w:val="22"/>
          <w:szCs w:val="22"/>
        </w:rPr>
        <w:t>______________________________________</w:t>
      </w:r>
    </w:p>
    <w:p w14:paraId="024AD5DD">
      <w:pPr>
        <w:pStyle w:val="14"/>
        <w:spacing w:before="0" w:after="0" w:line="360" w:lineRule="auto"/>
        <w:jc w:val="both"/>
        <w:rPr>
          <w:sz w:val="22"/>
          <w:szCs w:val="22"/>
        </w:rPr>
      </w:pPr>
      <w:r>
        <w:rPr>
          <w:sz w:val="22"/>
          <w:szCs w:val="22"/>
        </w:rPr>
        <w:t>7. ETAPA DE SELEÇÃO</w:t>
      </w:r>
    </w:p>
    <w:p w14:paraId="100739B6">
      <w:pPr>
        <w:pStyle w:val="15"/>
        <w:spacing w:before="0" w:after="0" w:line="360" w:lineRule="auto"/>
        <w:jc w:val="both"/>
        <w:rPr>
          <w:sz w:val="22"/>
          <w:szCs w:val="22"/>
        </w:rPr>
      </w:pPr>
    </w:p>
    <w:p w14:paraId="0BFB3CA8">
      <w:pPr>
        <w:pStyle w:val="15"/>
        <w:spacing w:before="0" w:after="0" w:line="360" w:lineRule="auto"/>
        <w:ind w:firstLine="708"/>
        <w:jc w:val="both"/>
        <w:rPr>
          <w:sz w:val="22"/>
          <w:szCs w:val="22"/>
        </w:rPr>
      </w:pPr>
      <w:r>
        <w:rPr>
          <w:sz w:val="22"/>
          <w:szCs w:val="22"/>
        </w:rPr>
        <w:t>7.1. Comissão de Seleção</w:t>
      </w:r>
    </w:p>
    <w:p w14:paraId="4052A371">
      <w:pPr>
        <w:pStyle w:val="10"/>
        <w:spacing w:before="0" w:after="0" w:line="360" w:lineRule="auto"/>
        <w:ind w:firstLine="708"/>
        <w:jc w:val="both"/>
        <w:rPr>
          <w:sz w:val="22"/>
          <w:szCs w:val="22"/>
        </w:rPr>
      </w:pPr>
      <w:r>
        <w:rPr>
          <w:sz w:val="22"/>
          <w:szCs w:val="22"/>
        </w:rPr>
        <w:t>A avaliação dos projetos será realizada por Comissão de Seleção formalmente designada por ato da Administração Pública, responsável pela análise técnica e atribuição de pontuação às propostas.</w:t>
      </w:r>
    </w:p>
    <w:p w14:paraId="03420877">
      <w:pPr>
        <w:pStyle w:val="10"/>
        <w:spacing w:before="0" w:after="0" w:line="360" w:lineRule="auto"/>
        <w:ind w:firstLine="708"/>
        <w:jc w:val="both"/>
        <w:rPr>
          <w:sz w:val="22"/>
          <w:szCs w:val="22"/>
        </w:rPr>
      </w:pPr>
      <w:r>
        <w:rPr>
          <w:sz w:val="22"/>
          <w:szCs w:val="22"/>
        </w:rPr>
        <w:t>A Comissão será composta por 03 (três) membros titulares e respectivos suplentes, podendo incluir servidores públicos, membros de Conselhos</w:t>
      </w:r>
      <w:r>
        <w:rPr>
          <w:rFonts w:hint="default"/>
          <w:sz w:val="22"/>
          <w:szCs w:val="22"/>
          <w:lang w:val="pt-BR"/>
        </w:rPr>
        <w:t xml:space="preserve"> Municipais</w:t>
      </w:r>
      <w:r>
        <w:rPr>
          <w:sz w:val="22"/>
          <w:szCs w:val="22"/>
        </w:rPr>
        <w:t>, assessores, consultores ou especialistas com notório saber na área cultural.</w:t>
      </w:r>
    </w:p>
    <w:p w14:paraId="4135E3B3">
      <w:pPr>
        <w:pStyle w:val="10"/>
        <w:spacing w:before="0" w:after="0" w:line="360" w:lineRule="auto"/>
        <w:ind w:firstLine="708"/>
        <w:jc w:val="both"/>
        <w:rPr>
          <w:sz w:val="22"/>
          <w:szCs w:val="22"/>
        </w:rPr>
      </w:pPr>
      <w:r>
        <w:rPr>
          <w:sz w:val="22"/>
          <w:szCs w:val="22"/>
        </w:rPr>
        <w:t>Todas as deliberações e análises realizadas pela Comissão serão registradas em atas e pareceres técnicos, garantindo transparência e rastreabilidade do processo.</w:t>
      </w:r>
    </w:p>
    <w:p w14:paraId="355649B3">
      <w:pPr>
        <w:pStyle w:val="10"/>
        <w:spacing w:before="0" w:after="0" w:line="360" w:lineRule="auto"/>
        <w:ind w:firstLine="708"/>
        <w:jc w:val="both"/>
        <w:rPr>
          <w:sz w:val="22"/>
          <w:szCs w:val="22"/>
        </w:rPr>
      </w:pPr>
      <w:r>
        <w:rPr>
          <w:sz w:val="22"/>
          <w:szCs w:val="22"/>
        </w:rPr>
        <w:t>Poderão ser constituídas subcomissões por área ou linguagem cultural, a depender do volume e da natureza dos projetos inscritos.</w:t>
      </w:r>
    </w:p>
    <w:p w14:paraId="67A7249D">
      <w:pPr>
        <w:pStyle w:val="15"/>
        <w:spacing w:before="0" w:after="0" w:line="360" w:lineRule="auto"/>
        <w:ind w:firstLine="708"/>
        <w:jc w:val="both"/>
        <w:rPr>
          <w:sz w:val="22"/>
          <w:szCs w:val="22"/>
        </w:rPr>
      </w:pPr>
      <w:r>
        <w:rPr>
          <w:sz w:val="22"/>
          <w:szCs w:val="22"/>
        </w:rPr>
        <w:t>7.2. Impedimentos e suspeições</w:t>
      </w:r>
    </w:p>
    <w:p w14:paraId="12347746">
      <w:pPr>
        <w:pStyle w:val="10"/>
        <w:spacing w:before="0" w:after="0" w:line="360" w:lineRule="auto"/>
        <w:ind w:firstLine="708"/>
        <w:jc w:val="both"/>
        <w:rPr>
          <w:sz w:val="22"/>
          <w:szCs w:val="22"/>
        </w:rPr>
      </w:pPr>
      <w:r>
        <w:rPr>
          <w:sz w:val="22"/>
          <w:szCs w:val="22"/>
        </w:rPr>
        <w:t>Os membros da Comissão de Seleção e seus suplentes ficam impedidos de participar da análise de projetos quando:</w:t>
      </w:r>
    </w:p>
    <w:p w14:paraId="373AED40">
      <w:pPr>
        <w:pStyle w:val="10"/>
        <w:spacing w:before="0" w:after="0" w:line="360" w:lineRule="auto"/>
        <w:ind w:left="708"/>
        <w:jc w:val="both"/>
        <w:rPr>
          <w:sz w:val="22"/>
          <w:szCs w:val="22"/>
        </w:rPr>
      </w:pPr>
      <w:r>
        <w:rPr>
          <w:sz w:val="22"/>
          <w:szCs w:val="22"/>
        </w:rPr>
        <w:t>I – Possuírem interesse direto ou indireto na proposta;</w:t>
      </w:r>
    </w:p>
    <w:p w14:paraId="7848DC61">
      <w:pPr>
        <w:pStyle w:val="10"/>
        <w:spacing w:before="0" w:after="0" w:line="360" w:lineRule="auto"/>
        <w:ind w:left="708"/>
        <w:jc w:val="both"/>
        <w:rPr>
          <w:sz w:val="22"/>
          <w:szCs w:val="22"/>
        </w:rPr>
      </w:pPr>
      <w:r>
        <w:rPr>
          <w:sz w:val="22"/>
          <w:szCs w:val="22"/>
        </w:rPr>
        <w:t>II – Tiverem participado da elaboração ou desenvolvimento do projeto;</w:t>
      </w:r>
    </w:p>
    <w:p w14:paraId="6B517392">
      <w:pPr>
        <w:pStyle w:val="10"/>
        <w:spacing w:before="0" w:after="0" w:line="360" w:lineRule="auto"/>
        <w:ind w:left="708"/>
        <w:jc w:val="both"/>
        <w:rPr>
          <w:sz w:val="22"/>
          <w:szCs w:val="22"/>
        </w:rPr>
      </w:pPr>
      <w:r>
        <w:rPr>
          <w:sz w:val="22"/>
          <w:szCs w:val="22"/>
        </w:rPr>
        <w:t>III – No caso de proponente pessoa jurídica ou coletivo, tenham integrado seu quadro societário ou composição nos últimos dois anos, ou possuam vínculo de parentesco, consanguíneo ou por afinidade, até o terceiro grau, com seus integrantes;</w:t>
      </w:r>
    </w:p>
    <w:p w14:paraId="524AAF00">
      <w:pPr>
        <w:pStyle w:val="10"/>
        <w:spacing w:before="0" w:after="0" w:line="360" w:lineRule="auto"/>
        <w:ind w:left="708"/>
        <w:jc w:val="both"/>
        <w:rPr>
          <w:sz w:val="22"/>
          <w:szCs w:val="22"/>
        </w:rPr>
      </w:pPr>
      <w:r>
        <w:rPr>
          <w:sz w:val="22"/>
          <w:szCs w:val="22"/>
        </w:rPr>
        <w:t>IV – Estiverem envolvidos em litígio judicial ou administrativo com o proponente ou seus representantes legais.</w:t>
      </w:r>
    </w:p>
    <w:p w14:paraId="162881BF">
      <w:pPr>
        <w:pStyle w:val="9"/>
        <w:spacing w:line="360" w:lineRule="auto"/>
        <w:jc w:val="both"/>
        <w:rPr>
          <w:sz w:val="22"/>
          <w:szCs w:val="22"/>
        </w:rPr>
      </w:pPr>
    </w:p>
    <w:p w14:paraId="2B0641B2">
      <w:pPr>
        <w:pStyle w:val="10"/>
        <w:spacing w:before="0" w:after="0" w:line="360" w:lineRule="auto"/>
        <w:ind w:firstLine="708"/>
        <w:jc w:val="both"/>
        <w:rPr>
          <w:sz w:val="22"/>
          <w:szCs w:val="22"/>
        </w:rPr>
      </w:pPr>
      <w:r>
        <w:rPr>
          <w:sz w:val="22"/>
          <w:szCs w:val="22"/>
        </w:rPr>
        <w:t>O membro que incorrer em impedimento deverá declarar-se imediatamente suspeito ou impedido, abstendo-se de qualquer atuação no respectivo projeto.</w:t>
      </w:r>
    </w:p>
    <w:p w14:paraId="3B5FBC5F">
      <w:pPr>
        <w:pStyle w:val="10"/>
        <w:spacing w:before="0" w:after="0" w:line="360" w:lineRule="auto"/>
        <w:ind w:firstLine="708"/>
        <w:jc w:val="both"/>
        <w:rPr>
          <w:sz w:val="22"/>
          <w:szCs w:val="22"/>
        </w:rPr>
      </w:pPr>
      <w:r>
        <w:rPr>
          <w:sz w:val="22"/>
          <w:szCs w:val="22"/>
        </w:rPr>
        <w:t>A não declaração de impedimento poderá ensejar nulidade dos atos praticados, sem prejuízo de responsabilização administrativa.</w:t>
      </w:r>
    </w:p>
    <w:p w14:paraId="62CA632C">
      <w:pPr>
        <w:pStyle w:val="9"/>
        <w:spacing w:line="360" w:lineRule="auto"/>
        <w:jc w:val="both"/>
        <w:rPr>
          <w:sz w:val="22"/>
          <w:szCs w:val="22"/>
        </w:rPr>
      </w:pPr>
    </w:p>
    <w:p w14:paraId="094B86F3">
      <w:pPr>
        <w:pStyle w:val="15"/>
        <w:spacing w:before="0" w:after="0" w:line="360" w:lineRule="auto"/>
        <w:ind w:firstLine="708"/>
        <w:jc w:val="both"/>
        <w:rPr>
          <w:sz w:val="22"/>
          <w:szCs w:val="22"/>
        </w:rPr>
      </w:pPr>
      <w:r>
        <w:rPr>
          <w:sz w:val="22"/>
          <w:szCs w:val="22"/>
        </w:rPr>
        <w:t>7.3. Análise de mérito cultural</w:t>
      </w:r>
    </w:p>
    <w:p w14:paraId="3184C456">
      <w:pPr>
        <w:pStyle w:val="10"/>
        <w:spacing w:before="0" w:after="0" w:line="360" w:lineRule="auto"/>
        <w:ind w:firstLine="708"/>
        <w:jc w:val="both"/>
        <w:rPr>
          <w:sz w:val="22"/>
          <w:szCs w:val="22"/>
        </w:rPr>
      </w:pPr>
      <w:r>
        <w:rPr>
          <w:sz w:val="22"/>
          <w:szCs w:val="22"/>
        </w:rPr>
        <w:t>A análise de mérito cultural consiste na avaliação qualitativa dos projetos, considerando sua relevância, consistência, viabilidade e impacto cultural.</w:t>
      </w:r>
    </w:p>
    <w:p w14:paraId="664A113B">
      <w:pPr>
        <w:pStyle w:val="10"/>
        <w:spacing w:before="0" w:after="0" w:line="360" w:lineRule="auto"/>
        <w:ind w:firstLine="708"/>
        <w:jc w:val="both"/>
        <w:rPr>
          <w:sz w:val="22"/>
          <w:szCs w:val="22"/>
        </w:rPr>
      </w:pPr>
      <w:r>
        <w:rPr>
          <w:sz w:val="22"/>
          <w:szCs w:val="22"/>
        </w:rPr>
        <w:t>A Comissão atribuirá notas fundamentadas com base nos critérios estabelecidos no Anexo III, considerando a qualidade técnica e artística da proposta, a relevância cultural e social, a coerência entre objetivos, metodologia e resultados, o impacto no território e no público-alvo, bem como a adequação às finalidades deste edital.</w:t>
      </w:r>
    </w:p>
    <w:p w14:paraId="5C2604BB">
      <w:pPr>
        <w:pStyle w:val="10"/>
        <w:spacing w:before="0" w:after="0" w:line="360" w:lineRule="auto"/>
        <w:ind w:firstLine="708"/>
        <w:jc w:val="both"/>
        <w:rPr>
          <w:sz w:val="22"/>
          <w:szCs w:val="22"/>
        </w:rPr>
      </w:pPr>
      <w:r>
        <w:rPr>
          <w:sz w:val="22"/>
          <w:szCs w:val="22"/>
        </w:rPr>
        <w:t>A avaliação será realizada de forma comparativa entre os projetos inscritos na mesma categoria, sendo a pontuação atribuída em função da análise individual e da relação com as demais propostas concorrentes.</w:t>
      </w:r>
    </w:p>
    <w:p w14:paraId="5B9BD527">
      <w:pPr>
        <w:pStyle w:val="15"/>
        <w:spacing w:before="0" w:after="0" w:line="360" w:lineRule="auto"/>
        <w:ind w:firstLine="708"/>
        <w:jc w:val="both"/>
        <w:rPr>
          <w:sz w:val="22"/>
          <w:szCs w:val="22"/>
        </w:rPr>
      </w:pPr>
    </w:p>
    <w:p w14:paraId="75966ECD">
      <w:pPr>
        <w:pStyle w:val="15"/>
        <w:spacing w:before="0" w:after="0" w:line="360" w:lineRule="auto"/>
        <w:ind w:firstLine="708"/>
        <w:jc w:val="both"/>
        <w:rPr>
          <w:sz w:val="22"/>
          <w:szCs w:val="22"/>
        </w:rPr>
      </w:pPr>
      <w:r>
        <w:rPr>
          <w:sz w:val="22"/>
          <w:szCs w:val="22"/>
        </w:rPr>
        <w:t>7.4. Análise orçamentária</w:t>
      </w:r>
    </w:p>
    <w:p w14:paraId="272593DA">
      <w:pPr>
        <w:pStyle w:val="10"/>
        <w:spacing w:before="0" w:after="0" w:line="360" w:lineRule="auto"/>
        <w:jc w:val="both"/>
        <w:rPr>
          <w:sz w:val="22"/>
          <w:szCs w:val="22"/>
        </w:rPr>
      </w:pPr>
      <w:r>
        <w:rPr>
          <w:sz w:val="22"/>
          <w:szCs w:val="22"/>
        </w:rPr>
        <w:t>A Comissão de Seleção procederá à análise da planilha orçamentária apresentada, verificando a compatibilidade dos valores com os preços praticados no mercado, a coerência entre orçamento e escopo do projeto e a adequação dos itens previstos às atividades propostas.</w:t>
      </w:r>
    </w:p>
    <w:p w14:paraId="67A5E2E4">
      <w:pPr>
        <w:pStyle w:val="9"/>
        <w:spacing w:line="360" w:lineRule="auto"/>
        <w:jc w:val="both"/>
        <w:rPr>
          <w:sz w:val="22"/>
          <w:szCs w:val="22"/>
        </w:rPr>
      </w:pPr>
    </w:p>
    <w:p w14:paraId="61FE36B8">
      <w:pPr>
        <w:pStyle w:val="10"/>
        <w:spacing w:before="0" w:after="0" w:line="360" w:lineRule="auto"/>
        <w:ind w:firstLine="708"/>
        <w:jc w:val="both"/>
        <w:rPr>
          <w:sz w:val="22"/>
          <w:szCs w:val="22"/>
        </w:rPr>
      </w:pPr>
      <w:r>
        <w:rPr>
          <w:sz w:val="22"/>
          <w:szCs w:val="22"/>
        </w:rPr>
        <w:t>Para subsidiar a análise, poderão ser utilizados parâmetros de mercado, tabelas referenciais, contratações similares ou outros instrumentos técnicos de verificação.</w:t>
      </w:r>
    </w:p>
    <w:p w14:paraId="1F62CB4F">
      <w:pPr>
        <w:pStyle w:val="15"/>
        <w:spacing w:before="0" w:after="0" w:line="360" w:lineRule="auto"/>
        <w:jc w:val="both"/>
        <w:rPr>
          <w:sz w:val="22"/>
          <w:szCs w:val="22"/>
        </w:rPr>
      </w:pPr>
    </w:p>
    <w:p w14:paraId="61DEA709">
      <w:pPr>
        <w:pStyle w:val="15"/>
        <w:spacing w:before="0" w:after="0" w:line="360" w:lineRule="auto"/>
        <w:ind w:firstLine="708"/>
        <w:jc w:val="both"/>
        <w:rPr>
          <w:sz w:val="22"/>
          <w:szCs w:val="22"/>
        </w:rPr>
      </w:pPr>
      <w:r>
        <w:rPr>
          <w:sz w:val="22"/>
          <w:szCs w:val="22"/>
        </w:rPr>
        <w:t>7.5. Glosas e ajustes orçamentários</w:t>
      </w:r>
    </w:p>
    <w:p w14:paraId="35BAFE2E">
      <w:pPr>
        <w:pStyle w:val="10"/>
        <w:spacing w:before="0" w:after="0" w:line="360" w:lineRule="auto"/>
        <w:ind w:firstLine="708"/>
        <w:jc w:val="both"/>
        <w:rPr>
          <w:sz w:val="22"/>
          <w:szCs w:val="22"/>
        </w:rPr>
      </w:pPr>
      <w:r>
        <w:rPr>
          <w:sz w:val="22"/>
          <w:szCs w:val="22"/>
        </w:rPr>
        <w:t>Os itens da planilha orçamentária poderão ser glosados, total ou parcialmente, pela Comissão quando apresentarem valores incompatíveis com o mercado, forem considerados incoerentes com o objeto do projeto ou não estiverem devidamente justificados.</w:t>
      </w:r>
    </w:p>
    <w:p w14:paraId="1C24A611">
      <w:pPr>
        <w:pStyle w:val="10"/>
        <w:spacing w:before="0" w:after="0" w:line="360" w:lineRule="auto"/>
        <w:ind w:firstLine="708"/>
        <w:jc w:val="both"/>
        <w:rPr>
          <w:sz w:val="22"/>
          <w:szCs w:val="22"/>
        </w:rPr>
      </w:pPr>
      <w:r>
        <w:rPr>
          <w:sz w:val="22"/>
          <w:szCs w:val="22"/>
        </w:rPr>
        <w:t>A aprovação do projeto poderá ocorrer com adequação de valores, sendo o proponente convocado a ajustar o Plano de Trabalho conforme as glosas realizadas.</w:t>
      </w:r>
    </w:p>
    <w:p w14:paraId="450388EE">
      <w:pPr>
        <w:pStyle w:val="9"/>
        <w:spacing w:line="360" w:lineRule="auto"/>
        <w:jc w:val="both"/>
        <w:rPr>
          <w:sz w:val="22"/>
          <w:szCs w:val="22"/>
        </w:rPr>
      </w:pPr>
    </w:p>
    <w:p w14:paraId="33A8F97D">
      <w:pPr>
        <w:pStyle w:val="15"/>
        <w:spacing w:before="0" w:after="0" w:line="360" w:lineRule="auto"/>
        <w:ind w:firstLine="708"/>
        <w:jc w:val="both"/>
        <w:rPr>
          <w:sz w:val="22"/>
          <w:szCs w:val="22"/>
        </w:rPr>
      </w:pPr>
      <w:r>
        <w:rPr>
          <w:sz w:val="22"/>
          <w:szCs w:val="22"/>
        </w:rPr>
        <w:t>7.6. Recursos da etapa de seleção</w:t>
      </w:r>
    </w:p>
    <w:p w14:paraId="747800E1">
      <w:pPr>
        <w:pStyle w:val="10"/>
        <w:spacing w:before="0" w:after="0" w:line="360" w:lineRule="auto"/>
        <w:ind w:firstLine="708"/>
        <w:jc w:val="both"/>
        <w:rPr>
          <w:sz w:val="22"/>
          <w:szCs w:val="22"/>
        </w:rPr>
      </w:pPr>
      <w:r>
        <w:rPr>
          <w:sz w:val="22"/>
          <w:szCs w:val="22"/>
        </w:rPr>
        <w:t>O resultado preliminar da etapa de seleção será publicado no site oficial da Prefeitura Municipal de Silvianópolis/MG, em suas redes sociais institucionais e/ou no Quadro de Avisos da Prefeitura.</w:t>
      </w:r>
    </w:p>
    <w:p w14:paraId="750424DD">
      <w:pPr>
        <w:pStyle w:val="10"/>
        <w:spacing w:before="0" w:after="0" w:line="360" w:lineRule="auto"/>
        <w:ind w:firstLine="708"/>
        <w:jc w:val="both"/>
        <w:rPr>
          <w:sz w:val="22"/>
          <w:szCs w:val="22"/>
        </w:rPr>
      </w:pPr>
      <w:r>
        <w:rPr>
          <w:sz w:val="22"/>
          <w:szCs w:val="22"/>
        </w:rPr>
        <w:t>Caberá recurso contra o resultado preliminar da seleção no prazo de 3 (três) dias úteis, contado a partir do primeiro dia útil subsequente à publicação.</w:t>
      </w:r>
    </w:p>
    <w:p w14:paraId="1C31ADB7">
      <w:pPr>
        <w:pStyle w:val="10"/>
        <w:spacing w:before="0" w:after="0" w:line="360" w:lineRule="auto"/>
        <w:ind w:firstLine="708"/>
        <w:jc w:val="both"/>
        <w:rPr>
          <w:sz w:val="22"/>
          <w:szCs w:val="22"/>
        </w:rPr>
      </w:pPr>
      <w:r>
        <w:rPr>
          <w:sz w:val="22"/>
          <w:szCs w:val="22"/>
        </w:rPr>
        <w:t>O recurso deverá ser apresentado por protocolo presencial na Secretaria Municipal de Cultura</w:t>
      </w:r>
      <w:r>
        <w:rPr>
          <w:rFonts w:hint="default"/>
          <w:sz w:val="22"/>
          <w:szCs w:val="22"/>
          <w:lang w:val="pt-BR"/>
        </w:rPr>
        <w:t xml:space="preserve"> (Praça Homero Bento Vieira, 53-Centro-Silvianópolis/MG)</w:t>
      </w:r>
      <w:r>
        <w:rPr>
          <w:sz w:val="22"/>
          <w:szCs w:val="22"/>
        </w:rPr>
        <w:t xml:space="preserve"> ou por outro meio oficial indicado pela Administração Pública na publicação do resultado.</w:t>
      </w:r>
    </w:p>
    <w:p w14:paraId="549F0C8E">
      <w:pPr>
        <w:pStyle w:val="10"/>
        <w:spacing w:before="0" w:after="0" w:line="360" w:lineRule="auto"/>
        <w:ind w:firstLine="708"/>
        <w:jc w:val="both"/>
        <w:rPr>
          <w:sz w:val="22"/>
          <w:szCs w:val="22"/>
        </w:rPr>
      </w:pPr>
      <w:r>
        <w:rPr>
          <w:sz w:val="22"/>
          <w:szCs w:val="22"/>
        </w:rPr>
        <w:t>Os recursos serão analisados por instância distinta da Comissão de Seleção, designada pela Administração Pública.</w:t>
      </w:r>
    </w:p>
    <w:p w14:paraId="5C27C219">
      <w:pPr>
        <w:pStyle w:val="10"/>
        <w:spacing w:before="0" w:after="0" w:line="360" w:lineRule="auto"/>
        <w:ind w:firstLine="708"/>
        <w:jc w:val="both"/>
        <w:rPr>
          <w:sz w:val="22"/>
          <w:szCs w:val="22"/>
        </w:rPr>
      </w:pPr>
      <w:r>
        <w:rPr>
          <w:sz w:val="22"/>
          <w:szCs w:val="22"/>
        </w:rPr>
        <w:t>Não serão conhecidos recursos apresentados fora do prazo ou em desacordo com as regras estabelecidas neste edital.</w:t>
      </w:r>
    </w:p>
    <w:p w14:paraId="5DE78EFC">
      <w:pPr>
        <w:pStyle w:val="10"/>
        <w:spacing w:before="0" w:after="0" w:line="360" w:lineRule="auto"/>
        <w:ind w:firstLine="708"/>
        <w:jc w:val="both"/>
        <w:rPr>
          <w:sz w:val="22"/>
          <w:szCs w:val="22"/>
        </w:rPr>
      </w:pPr>
      <w:r>
        <w:rPr>
          <w:sz w:val="22"/>
          <w:szCs w:val="22"/>
        </w:rPr>
        <w:t>Após a análise dos recursos, será publicado o resultado final da etapa de seleção, contendo a classificação definitiva dos projetos e a convocação dos selecionados para a etapa de habilitação.</w:t>
      </w:r>
    </w:p>
    <w:p w14:paraId="17655076">
      <w:pPr>
        <w:pStyle w:val="9"/>
        <w:spacing w:line="360" w:lineRule="auto"/>
        <w:jc w:val="both"/>
        <w:rPr>
          <w:sz w:val="22"/>
          <w:szCs w:val="22"/>
        </w:rPr>
      </w:pPr>
    </w:p>
    <w:p w14:paraId="4B0A1AC2">
      <w:pPr>
        <w:pStyle w:val="9"/>
        <w:spacing w:line="360" w:lineRule="auto"/>
        <w:jc w:val="both"/>
        <w:rPr>
          <w:sz w:val="22"/>
          <w:szCs w:val="22"/>
        </w:rPr>
      </w:pPr>
      <w:r>
        <w:rPr>
          <w:sz w:val="22"/>
          <w:szCs w:val="22"/>
        </w:rPr>
        <w:t>______________________________________</w:t>
      </w:r>
    </w:p>
    <w:p w14:paraId="24CC7C76">
      <w:pPr>
        <w:pStyle w:val="14"/>
        <w:spacing w:before="0" w:after="0" w:line="360" w:lineRule="auto"/>
        <w:jc w:val="both"/>
        <w:rPr>
          <w:sz w:val="22"/>
          <w:szCs w:val="22"/>
        </w:rPr>
      </w:pPr>
      <w:r>
        <w:rPr>
          <w:sz w:val="22"/>
          <w:szCs w:val="22"/>
        </w:rPr>
        <w:t>8. REMANEJAMENTO DE VAGAS</w:t>
      </w:r>
    </w:p>
    <w:p w14:paraId="2D0C0683">
      <w:pPr>
        <w:pStyle w:val="10"/>
        <w:spacing w:before="0" w:after="0" w:line="360" w:lineRule="auto"/>
        <w:jc w:val="both"/>
        <w:rPr>
          <w:sz w:val="22"/>
          <w:szCs w:val="22"/>
        </w:rPr>
      </w:pPr>
    </w:p>
    <w:p w14:paraId="53CF7A2E">
      <w:pPr>
        <w:pStyle w:val="10"/>
        <w:spacing w:before="0" w:after="0" w:line="360" w:lineRule="auto"/>
        <w:ind w:firstLine="708"/>
        <w:jc w:val="both"/>
        <w:rPr>
          <w:sz w:val="22"/>
          <w:szCs w:val="22"/>
        </w:rPr>
      </w:pPr>
      <w:r>
        <w:rPr>
          <w:sz w:val="22"/>
          <w:szCs w:val="22"/>
        </w:rPr>
        <w:t>Na hipótese de não preenchimento integral das vagas previstas em determinada categoria, seja por insuficiência de propostas inscritas, inabilitação ou não aprovação de projetos, os recursos correspondentes poderão ser remanejados para outras categorias deste edital, observando-se os seguintes critérios:</w:t>
      </w:r>
    </w:p>
    <w:p w14:paraId="598F2335">
      <w:pPr>
        <w:pStyle w:val="9"/>
        <w:spacing w:line="360" w:lineRule="auto"/>
        <w:jc w:val="both"/>
        <w:rPr>
          <w:sz w:val="22"/>
          <w:szCs w:val="22"/>
        </w:rPr>
      </w:pPr>
    </w:p>
    <w:p w14:paraId="634682B1">
      <w:pPr>
        <w:pStyle w:val="10"/>
        <w:spacing w:before="0" w:after="0" w:line="360" w:lineRule="auto"/>
        <w:ind w:left="708"/>
        <w:jc w:val="both"/>
        <w:rPr>
          <w:sz w:val="22"/>
          <w:szCs w:val="22"/>
        </w:rPr>
      </w:pPr>
      <w:r>
        <w:rPr>
          <w:sz w:val="22"/>
          <w:szCs w:val="22"/>
        </w:rPr>
        <w:t>I – Os recursos remanescentes serão destinados, prioritariamente, aos projetos habilitados e não contemplados, respeitada a ordem de classificação geral e as regras de cotas previstas neste edital;</w:t>
      </w:r>
    </w:p>
    <w:p w14:paraId="5057B8D8">
      <w:pPr>
        <w:pStyle w:val="10"/>
        <w:spacing w:before="0" w:after="0" w:line="360" w:lineRule="auto"/>
        <w:ind w:left="708"/>
        <w:jc w:val="both"/>
        <w:rPr>
          <w:sz w:val="22"/>
          <w:szCs w:val="22"/>
        </w:rPr>
      </w:pPr>
      <w:r>
        <w:rPr>
          <w:sz w:val="22"/>
          <w:szCs w:val="22"/>
        </w:rPr>
        <w:t>II – Será considerada a maior pontuação obtida na avaliação de mérito cultural, desde que o projeto atenda aos requisitos mínimos de qualidade e viabilidade estabelecidos neste edital;</w:t>
      </w:r>
    </w:p>
    <w:p w14:paraId="4F42E73E">
      <w:pPr>
        <w:pStyle w:val="10"/>
        <w:spacing w:before="0" w:after="0" w:line="360" w:lineRule="auto"/>
        <w:ind w:left="708"/>
        <w:jc w:val="both"/>
        <w:rPr>
          <w:sz w:val="22"/>
          <w:szCs w:val="22"/>
        </w:rPr>
      </w:pPr>
      <w:r>
        <w:rPr>
          <w:sz w:val="22"/>
          <w:szCs w:val="22"/>
        </w:rPr>
        <w:t>III – O remanejamento deverá observar, sempre que possível, o equilíbrio entre áreas culturais, territórios, grupos culturais e ampliação do acesso aos recursos públicos.</w:t>
      </w:r>
    </w:p>
    <w:p w14:paraId="54AE1C79">
      <w:pPr>
        <w:pStyle w:val="9"/>
        <w:spacing w:line="360" w:lineRule="auto"/>
        <w:jc w:val="both"/>
        <w:rPr>
          <w:sz w:val="22"/>
          <w:szCs w:val="22"/>
        </w:rPr>
      </w:pPr>
    </w:p>
    <w:p w14:paraId="36873DD3">
      <w:pPr>
        <w:pStyle w:val="10"/>
        <w:spacing w:before="0" w:after="0" w:line="360" w:lineRule="auto"/>
        <w:ind w:firstLine="708"/>
        <w:jc w:val="both"/>
        <w:rPr>
          <w:sz w:val="22"/>
          <w:szCs w:val="22"/>
        </w:rPr>
      </w:pPr>
      <w:r>
        <w:rPr>
          <w:sz w:val="22"/>
          <w:szCs w:val="22"/>
        </w:rPr>
        <w:t>Caso, ainda assim, não haja projetos aptos ao recebimento dos recursos, estes poderão ser reprogramados e utilizados em novo chamamento público no âmbito da Política Nacional Aldir Blanc – PNAB, conforme deliberação da Administração Pública.</w:t>
      </w:r>
    </w:p>
    <w:p w14:paraId="7D5BA8C2">
      <w:pPr>
        <w:pStyle w:val="9"/>
        <w:spacing w:line="360" w:lineRule="auto"/>
        <w:jc w:val="both"/>
        <w:rPr>
          <w:sz w:val="22"/>
          <w:szCs w:val="22"/>
        </w:rPr>
      </w:pPr>
    </w:p>
    <w:p w14:paraId="37321990">
      <w:pPr>
        <w:pStyle w:val="9"/>
        <w:spacing w:line="360" w:lineRule="auto"/>
        <w:jc w:val="both"/>
        <w:rPr>
          <w:sz w:val="22"/>
          <w:szCs w:val="22"/>
        </w:rPr>
      </w:pPr>
      <w:r>
        <w:rPr>
          <w:sz w:val="22"/>
          <w:szCs w:val="22"/>
        </w:rPr>
        <w:t>______________________________________</w:t>
      </w:r>
    </w:p>
    <w:p w14:paraId="406603E7">
      <w:pPr>
        <w:pStyle w:val="14"/>
        <w:spacing w:before="0" w:after="0" w:line="360" w:lineRule="auto"/>
        <w:jc w:val="both"/>
        <w:rPr>
          <w:sz w:val="22"/>
          <w:szCs w:val="22"/>
        </w:rPr>
      </w:pPr>
      <w:r>
        <w:rPr>
          <w:sz w:val="22"/>
          <w:szCs w:val="22"/>
        </w:rPr>
        <w:t>9. ETAPA DE HABILITAÇÃO</w:t>
      </w:r>
    </w:p>
    <w:p w14:paraId="36B1D47B">
      <w:pPr>
        <w:pStyle w:val="10"/>
        <w:spacing w:before="0" w:after="0" w:line="360" w:lineRule="auto"/>
        <w:ind w:firstLine="708"/>
        <w:jc w:val="both"/>
        <w:rPr>
          <w:sz w:val="22"/>
          <w:szCs w:val="22"/>
        </w:rPr>
      </w:pPr>
    </w:p>
    <w:p w14:paraId="24B07E46">
      <w:pPr>
        <w:pStyle w:val="10"/>
        <w:spacing w:before="0" w:after="0" w:line="360" w:lineRule="auto"/>
        <w:ind w:firstLine="708"/>
        <w:jc w:val="both"/>
        <w:rPr>
          <w:sz w:val="22"/>
          <w:szCs w:val="22"/>
        </w:rPr>
      </w:pPr>
      <w:r>
        <w:rPr>
          <w:sz w:val="22"/>
          <w:szCs w:val="22"/>
        </w:rPr>
        <w:t>A etapa de habilitação ocorrerá exclusivamente após a seleção dos projetos, sendo obrigatória apenas para os agentes culturais selecionados.</w:t>
      </w:r>
    </w:p>
    <w:p w14:paraId="0614DD41">
      <w:pPr>
        <w:pStyle w:val="10"/>
        <w:spacing w:before="0" w:after="0" w:line="360" w:lineRule="auto"/>
        <w:ind w:firstLine="708"/>
        <w:jc w:val="both"/>
        <w:rPr>
          <w:sz w:val="22"/>
          <w:szCs w:val="22"/>
        </w:rPr>
      </w:pPr>
      <w:r>
        <w:rPr>
          <w:sz w:val="22"/>
          <w:szCs w:val="22"/>
        </w:rPr>
        <w:t>Esta etapa tem por finalidade verificar a regularidade jurídica, fiscal e documental dos proponentes, conforme disposto na legislação vigente.</w:t>
      </w:r>
    </w:p>
    <w:p w14:paraId="6978A8C7">
      <w:pPr>
        <w:pStyle w:val="9"/>
        <w:spacing w:line="360" w:lineRule="auto"/>
        <w:jc w:val="both"/>
        <w:rPr>
          <w:sz w:val="22"/>
          <w:szCs w:val="22"/>
        </w:rPr>
      </w:pPr>
    </w:p>
    <w:p w14:paraId="54EFD3E7">
      <w:pPr>
        <w:pStyle w:val="15"/>
        <w:spacing w:before="0" w:after="0" w:line="360" w:lineRule="auto"/>
        <w:ind w:firstLine="708"/>
        <w:jc w:val="both"/>
        <w:rPr>
          <w:sz w:val="22"/>
          <w:szCs w:val="22"/>
        </w:rPr>
      </w:pPr>
      <w:r>
        <w:rPr>
          <w:sz w:val="22"/>
          <w:szCs w:val="22"/>
        </w:rPr>
        <w:t>9.1. Documentos necessários</w:t>
      </w:r>
    </w:p>
    <w:p w14:paraId="0FA11731">
      <w:pPr>
        <w:pStyle w:val="10"/>
        <w:spacing w:before="0" w:after="0" w:line="360" w:lineRule="auto"/>
        <w:ind w:firstLine="708"/>
        <w:jc w:val="both"/>
        <w:rPr>
          <w:sz w:val="22"/>
          <w:szCs w:val="22"/>
        </w:rPr>
      </w:pPr>
      <w:r>
        <w:rPr>
          <w:sz w:val="22"/>
          <w:szCs w:val="22"/>
        </w:rPr>
        <w:t>O agente cultural responsável pelo projeto selecionado deverá apresentar, no prazo de 5 (cinco) dias úteis, contados da publicação do resultado final da etapa de seleção e da convocação para habilitação, os documentos abaixo, por protocolo físico na Secretaria Municipal de Cultura ou por outro meio oficial indicado pela Administração Pública.</w:t>
      </w:r>
    </w:p>
    <w:p w14:paraId="32037736">
      <w:pPr>
        <w:pStyle w:val="9"/>
        <w:spacing w:line="360" w:lineRule="auto"/>
        <w:jc w:val="both"/>
        <w:rPr>
          <w:sz w:val="22"/>
          <w:szCs w:val="22"/>
        </w:rPr>
      </w:pPr>
    </w:p>
    <w:p w14:paraId="4A01263D">
      <w:pPr>
        <w:pStyle w:val="16"/>
        <w:spacing w:before="0" w:after="0" w:line="360" w:lineRule="auto"/>
        <w:ind w:firstLine="708"/>
        <w:jc w:val="both"/>
        <w:rPr>
          <w:sz w:val="22"/>
          <w:szCs w:val="22"/>
        </w:rPr>
      </w:pPr>
      <w:r>
        <w:rPr>
          <w:sz w:val="22"/>
          <w:szCs w:val="22"/>
        </w:rPr>
        <w:t>a) Pessoa física</w:t>
      </w:r>
    </w:p>
    <w:p w14:paraId="2924C0E9">
      <w:pPr>
        <w:pStyle w:val="10"/>
        <w:spacing w:before="0" w:after="0" w:line="360" w:lineRule="auto"/>
        <w:ind w:left="708"/>
        <w:jc w:val="both"/>
        <w:rPr>
          <w:sz w:val="22"/>
          <w:szCs w:val="22"/>
        </w:rPr>
      </w:pPr>
      <w:r>
        <w:rPr>
          <w:sz w:val="22"/>
          <w:szCs w:val="22"/>
        </w:rPr>
        <w:t>I – Documento oficial de identificação com foto e CPF;</w:t>
      </w:r>
    </w:p>
    <w:p w14:paraId="419F810E">
      <w:pPr>
        <w:pStyle w:val="10"/>
        <w:spacing w:before="0" w:after="0" w:line="360" w:lineRule="auto"/>
        <w:ind w:left="708"/>
        <w:jc w:val="both"/>
        <w:rPr>
          <w:sz w:val="22"/>
          <w:szCs w:val="22"/>
        </w:rPr>
      </w:pPr>
      <w:r>
        <w:rPr>
          <w:sz w:val="22"/>
          <w:szCs w:val="22"/>
        </w:rPr>
        <w:t>II – Certidão negativa de débitos relativos a créditos tributários federais e à Dívida Ativa da União;</w:t>
      </w:r>
    </w:p>
    <w:p w14:paraId="03967C4B">
      <w:pPr>
        <w:pStyle w:val="10"/>
        <w:spacing w:before="0" w:after="0" w:line="360" w:lineRule="auto"/>
        <w:ind w:left="708"/>
        <w:jc w:val="both"/>
        <w:rPr>
          <w:sz w:val="22"/>
          <w:szCs w:val="22"/>
        </w:rPr>
      </w:pPr>
      <w:r>
        <w:rPr>
          <w:sz w:val="22"/>
          <w:szCs w:val="22"/>
        </w:rPr>
        <w:t>III – Certidões negativas de débitos estaduais e municipais;</w:t>
      </w:r>
    </w:p>
    <w:p w14:paraId="3BE42B63">
      <w:pPr>
        <w:pStyle w:val="10"/>
        <w:spacing w:before="0" w:after="0" w:line="360" w:lineRule="auto"/>
        <w:ind w:left="708"/>
        <w:jc w:val="both"/>
        <w:rPr>
          <w:sz w:val="22"/>
          <w:szCs w:val="22"/>
        </w:rPr>
      </w:pPr>
      <w:r>
        <w:rPr>
          <w:sz w:val="22"/>
          <w:szCs w:val="22"/>
        </w:rPr>
        <w:t>IV – Certidão negativa de débitos trabalhistas – CNDT;</w:t>
      </w:r>
    </w:p>
    <w:p w14:paraId="237C7CA1">
      <w:pPr>
        <w:pStyle w:val="10"/>
        <w:spacing w:before="0" w:after="0" w:line="360" w:lineRule="auto"/>
        <w:ind w:left="708"/>
        <w:jc w:val="both"/>
        <w:rPr>
          <w:sz w:val="22"/>
          <w:szCs w:val="22"/>
        </w:rPr>
      </w:pPr>
      <w:r>
        <w:rPr>
          <w:sz w:val="22"/>
          <w:szCs w:val="22"/>
        </w:rPr>
        <w:t>V – Comprovante de residência atualizado ou declaração assinada.</w:t>
      </w:r>
    </w:p>
    <w:p w14:paraId="3A91F159">
      <w:pPr>
        <w:pStyle w:val="10"/>
        <w:spacing w:before="0" w:after="0" w:line="360" w:lineRule="auto"/>
        <w:ind w:firstLine="708"/>
        <w:jc w:val="both"/>
        <w:rPr>
          <w:sz w:val="22"/>
          <w:szCs w:val="22"/>
        </w:rPr>
      </w:pPr>
      <w:r>
        <w:rPr>
          <w:sz w:val="22"/>
          <w:szCs w:val="22"/>
        </w:rPr>
        <w:t>A comprovação de residência poderá ser dispensada nos casos de pessoas pertencentes a comunidades indígenas, quilombolas, ciganas ou circenses, pessoas em situação de itinerância e pessoas em situação de rua, mediante autodeclaração ou outro meio idôneo de comprovação.</w:t>
      </w:r>
    </w:p>
    <w:p w14:paraId="0BE4ABCB">
      <w:pPr>
        <w:pStyle w:val="9"/>
        <w:spacing w:line="360" w:lineRule="auto"/>
        <w:jc w:val="both"/>
        <w:rPr>
          <w:sz w:val="22"/>
          <w:szCs w:val="22"/>
        </w:rPr>
      </w:pPr>
    </w:p>
    <w:p w14:paraId="5E9F30A9">
      <w:pPr>
        <w:pStyle w:val="16"/>
        <w:spacing w:before="0" w:after="0" w:line="360" w:lineRule="auto"/>
        <w:ind w:firstLine="708"/>
        <w:jc w:val="both"/>
        <w:rPr>
          <w:sz w:val="22"/>
          <w:szCs w:val="22"/>
        </w:rPr>
      </w:pPr>
      <w:r>
        <w:rPr>
          <w:sz w:val="22"/>
          <w:szCs w:val="22"/>
        </w:rPr>
        <w:t>b) Pessoa jurídica</w:t>
      </w:r>
    </w:p>
    <w:p w14:paraId="1C1A99CA">
      <w:pPr>
        <w:pStyle w:val="10"/>
        <w:spacing w:before="0" w:after="0" w:line="360" w:lineRule="auto"/>
        <w:ind w:firstLine="708"/>
        <w:jc w:val="both"/>
        <w:rPr>
          <w:sz w:val="22"/>
          <w:szCs w:val="22"/>
        </w:rPr>
      </w:pPr>
      <w:r>
        <w:rPr>
          <w:sz w:val="22"/>
          <w:szCs w:val="22"/>
        </w:rPr>
        <w:t>I – Comprovante de inscrição no CNPJ;</w:t>
      </w:r>
    </w:p>
    <w:p w14:paraId="37EC4603">
      <w:pPr>
        <w:pStyle w:val="10"/>
        <w:spacing w:before="0" w:after="0" w:line="360" w:lineRule="auto"/>
        <w:ind w:firstLine="708"/>
        <w:jc w:val="both"/>
        <w:rPr>
          <w:sz w:val="22"/>
          <w:szCs w:val="22"/>
        </w:rPr>
      </w:pPr>
      <w:r>
        <w:rPr>
          <w:sz w:val="22"/>
          <w:szCs w:val="22"/>
        </w:rPr>
        <w:t>II – Ato constitutivo, contrato social ou estatuto atualizado;</w:t>
      </w:r>
    </w:p>
    <w:p w14:paraId="7BEB1DB4">
      <w:pPr>
        <w:pStyle w:val="10"/>
        <w:spacing w:before="0" w:after="0" w:line="360" w:lineRule="auto"/>
        <w:ind w:firstLine="708"/>
        <w:jc w:val="both"/>
        <w:rPr>
          <w:sz w:val="22"/>
          <w:szCs w:val="22"/>
        </w:rPr>
      </w:pPr>
      <w:r>
        <w:rPr>
          <w:sz w:val="22"/>
          <w:szCs w:val="22"/>
        </w:rPr>
        <w:t>III – Documento de identificação do representante legal;</w:t>
      </w:r>
    </w:p>
    <w:p w14:paraId="6CA17BF1">
      <w:pPr>
        <w:pStyle w:val="10"/>
        <w:spacing w:before="0" w:after="0" w:line="360" w:lineRule="auto"/>
        <w:ind w:firstLine="708"/>
        <w:jc w:val="both"/>
        <w:rPr>
          <w:sz w:val="22"/>
          <w:szCs w:val="22"/>
        </w:rPr>
      </w:pPr>
      <w:r>
        <w:rPr>
          <w:sz w:val="22"/>
          <w:szCs w:val="22"/>
        </w:rPr>
        <w:t>IV – Certidão negativa de falência e recuperação judicial, quando aplicável;</w:t>
      </w:r>
    </w:p>
    <w:p w14:paraId="0E2FB68E">
      <w:pPr>
        <w:pStyle w:val="10"/>
        <w:spacing w:before="0" w:after="0" w:line="360" w:lineRule="auto"/>
        <w:ind w:firstLine="708"/>
        <w:jc w:val="both"/>
        <w:rPr>
          <w:sz w:val="22"/>
          <w:szCs w:val="22"/>
        </w:rPr>
      </w:pPr>
      <w:r>
        <w:rPr>
          <w:sz w:val="22"/>
          <w:szCs w:val="22"/>
        </w:rPr>
        <w:t>V – Certidão negativa de débitos federais e dívida ativa da União;</w:t>
      </w:r>
    </w:p>
    <w:p w14:paraId="2A3AD871">
      <w:pPr>
        <w:pStyle w:val="10"/>
        <w:spacing w:before="0" w:after="0" w:line="360" w:lineRule="auto"/>
        <w:ind w:firstLine="708"/>
        <w:jc w:val="both"/>
        <w:rPr>
          <w:sz w:val="22"/>
          <w:szCs w:val="22"/>
        </w:rPr>
      </w:pPr>
      <w:r>
        <w:rPr>
          <w:sz w:val="22"/>
          <w:szCs w:val="22"/>
        </w:rPr>
        <w:t>VI – Certidões negativas de débitos estaduais e municipais;</w:t>
      </w:r>
    </w:p>
    <w:p w14:paraId="1E8DC858">
      <w:pPr>
        <w:pStyle w:val="10"/>
        <w:spacing w:before="0" w:after="0" w:line="360" w:lineRule="auto"/>
        <w:ind w:firstLine="708"/>
        <w:jc w:val="both"/>
        <w:rPr>
          <w:sz w:val="22"/>
          <w:szCs w:val="22"/>
        </w:rPr>
      </w:pPr>
      <w:r>
        <w:rPr>
          <w:sz w:val="22"/>
          <w:szCs w:val="22"/>
        </w:rPr>
        <w:t>VII – Certificado de regularidade do FGTS – CRF, quando aplicável;</w:t>
      </w:r>
    </w:p>
    <w:p w14:paraId="2F846B51">
      <w:pPr>
        <w:pStyle w:val="10"/>
        <w:spacing w:before="0" w:after="0" w:line="360" w:lineRule="auto"/>
        <w:ind w:firstLine="708"/>
        <w:jc w:val="both"/>
        <w:rPr>
          <w:sz w:val="22"/>
          <w:szCs w:val="22"/>
        </w:rPr>
      </w:pPr>
      <w:r>
        <w:rPr>
          <w:sz w:val="22"/>
          <w:szCs w:val="22"/>
        </w:rPr>
        <w:t>VIII – Certidão negativa de débitos trabalhistas – CNDT.</w:t>
      </w:r>
    </w:p>
    <w:p w14:paraId="0615D2C1">
      <w:pPr>
        <w:pStyle w:val="9"/>
        <w:spacing w:line="360" w:lineRule="auto"/>
        <w:jc w:val="both"/>
        <w:rPr>
          <w:sz w:val="22"/>
          <w:szCs w:val="22"/>
        </w:rPr>
      </w:pPr>
    </w:p>
    <w:p w14:paraId="1D9D9795">
      <w:pPr>
        <w:pStyle w:val="16"/>
        <w:spacing w:before="0" w:after="0" w:line="360" w:lineRule="auto"/>
        <w:jc w:val="both"/>
        <w:rPr>
          <w:sz w:val="22"/>
          <w:szCs w:val="22"/>
        </w:rPr>
      </w:pPr>
    </w:p>
    <w:p w14:paraId="0E42DECD">
      <w:pPr>
        <w:pStyle w:val="16"/>
        <w:spacing w:before="0" w:after="0" w:line="360" w:lineRule="auto"/>
        <w:ind w:firstLine="708"/>
        <w:jc w:val="both"/>
        <w:rPr>
          <w:sz w:val="22"/>
          <w:szCs w:val="22"/>
        </w:rPr>
      </w:pPr>
      <w:r>
        <w:rPr>
          <w:sz w:val="22"/>
          <w:szCs w:val="22"/>
        </w:rPr>
        <w:t>c) Coletivos e grupos sem CNPJ</w:t>
      </w:r>
    </w:p>
    <w:p w14:paraId="366A2A27">
      <w:pPr>
        <w:pStyle w:val="10"/>
        <w:spacing w:before="0" w:after="0" w:line="360" w:lineRule="auto"/>
        <w:ind w:firstLine="708"/>
        <w:jc w:val="both"/>
        <w:rPr>
          <w:sz w:val="22"/>
          <w:szCs w:val="22"/>
        </w:rPr>
      </w:pPr>
      <w:r>
        <w:rPr>
          <w:sz w:val="22"/>
          <w:szCs w:val="22"/>
        </w:rPr>
        <w:t>I – Documento de identificação com CPF do representante do grupo;</w:t>
      </w:r>
    </w:p>
    <w:p w14:paraId="2481A65A">
      <w:pPr>
        <w:pStyle w:val="10"/>
        <w:spacing w:before="0" w:after="0" w:line="360" w:lineRule="auto"/>
        <w:ind w:firstLine="708"/>
        <w:jc w:val="both"/>
        <w:rPr>
          <w:sz w:val="22"/>
          <w:szCs w:val="22"/>
        </w:rPr>
      </w:pPr>
      <w:r>
        <w:rPr>
          <w:sz w:val="22"/>
          <w:szCs w:val="22"/>
        </w:rPr>
        <w:t>II – Certidão negativa de débitos federais e dívida ativa da União em nome do representante;</w:t>
      </w:r>
    </w:p>
    <w:p w14:paraId="16F57746">
      <w:pPr>
        <w:pStyle w:val="10"/>
        <w:spacing w:before="0" w:after="0" w:line="360" w:lineRule="auto"/>
        <w:ind w:firstLine="708"/>
        <w:jc w:val="both"/>
        <w:rPr>
          <w:sz w:val="22"/>
          <w:szCs w:val="22"/>
        </w:rPr>
      </w:pPr>
      <w:r>
        <w:rPr>
          <w:sz w:val="22"/>
          <w:szCs w:val="22"/>
        </w:rPr>
        <w:t>III – Certidões negativas de débitos estaduais e municipais em nome do representante;</w:t>
      </w:r>
    </w:p>
    <w:p w14:paraId="6D31AADD">
      <w:pPr>
        <w:pStyle w:val="10"/>
        <w:spacing w:before="0" w:after="0" w:line="360" w:lineRule="auto"/>
        <w:ind w:firstLine="708"/>
        <w:jc w:val="both"/>
        <w:rPr>
          <w:sz w:val="22"/>
          <w:szCs w:val="22"/>
        </w:rPr>
      </w:pPr>
      <w:r>
        <w:rPr>
          <w:sz w:val="22"/>
          <w:szCs w:val="22"/>
        </w:rPr>
        <w:t>IV – Certidão negativa de débitos trabalhistas – CNDT em nome do representante;</w:t>
      </w:r>
    </w:p>
    <w:p w14:paraId="0D960707">
      <w:pPr>
        <w:pStyle w:val="10"/>
        <w:spacing w:before="0" w:after="0" w:line="360" w:lineRule="auto"/>
        <w:ind w:firstLine="708"/>
        <w:jc w:val="both"/>
        <w:rPr>
          <w:sz w:val="22"/>
          <w:szCs w:val="22"/>
        </w:rPr>
      </w:pPr>
      <w:r>
        <w:rPr>
          <w:sz w:val="22"/>
          <w:szCs w:val="22"/>
        </w:rPr>
        <w:t>V – Comprovante de residência ou declaração assinada em nome do representante;</w:t>
      </w:r>
    </w:p>
    <w:p w14:paraId="1E860762">
      <w:pPr>
        <w:pStyle w:val="10"/>
        <w:spacing w:before="0" w:after="0" w:line="360" w:lineRule="auto"/>
        <w:ind w:firstLine="708"/>
        <w:jc w:val="both"/>
        <w:rPr>
          <w:sz w:val="22"/>
          <w:szCs w:val="22"/>
        </w:rPr>
      </w:pPr>
      <w:r>
        <w:rPr>
          <w:sz w:val="22"/>
          <w:szCs w:val="22"/>
        </w:rPr>
        <w:t>VI – Declaração de representação do grupo ou coletivo, conforme Anexo VI.</w:t>
      </w:r>
    </w:p>
    <w:p w14:paraId="16D5EE28">
      <w:pPr>
        <w:pStyle w:val="9"/>
        <w:spacing w:line="360" w:lineRule="auto"/>
        <w:jc w:val="both"/>
        <w:rPr>
          <w:sz w:val="22"/>
          <w:szCs w:val="22"/>
        </w:rPr>
      </w:pPr>
    </w:p>
    <w:p w14:paraId="281E26CF">
      <w:pPr>
        <w:pStyle w:val="15"/>
        <w:spacing w:before="0" w:after="0" w:line="360" w:lineRule="auto"/>
        <w:ind w:firstLine="708"/>
        <w:jc w:val="both"/>
        <w:rPr>
          <w:sz w:val="22"/>
          <w:szCs w:val="22"/>
        </w:rPr>
      </w:pPr>
      <w:r>
        <w:rPr>
          <w:sz w:val="22"/>
          <w:szCs w:val="22"/>
        </w:rPr>
        <w:t>9.2. Disposições gerais da habilitação</w:t>
      </w:r>
    </w:p>
    <w:p w14:paraId="27C3A878">
      <w:pPr>
        <w:pStyle w:val="10"/>
        <w:spacing w:before="0" w:after="0" w:line="360" w:lineRule="auto"/>
        <w:ind w:firstLine="708"/>
        <w:jc w:val="both"/>
        <w:rPr>
          <w:sz w:val="22"/>
          <w:szCs w:val="22"/>
        </w:rPr>
      </w:pPr>
      <w:r>
        <w:rPr>
          <w:sz w:val="22"/>
          <w:szCs w:val="22"/>
        </w:rPr>
        <w:t>Serão aceitas certidões positivas com efeito de negativas, desde que não contenham restrições à celebração de instrumentos com a Administração Pública.</w:t>
      </w:r>
    </w:p>
    <w:p w14:paraId="0AE69066">
      <w:pPr>
        <w:pStyle w:val="10"/>
        <w:spacing w:before="0" w:after="0" w:line="360" w:lineRule="auto"/>
        <w:ind w:firstLine="708"/>
        <w:jc w:val="both"/>
        <w:rPr>
          <w:sz w:val="22"/>
          <w:szCs w:val="22"/>
        </w:rPr>
      </w:pPr>
      <w:r>
        <w:rPr>
          <w:sz w:val="22"/>
          <w:szCs w:val="22"/>
        </w:rPr>
        <w:t>O não envio da documentação no prazo estabelecido ou a apresentação de documentação irregular implicará inabilitação do proponente, salvo nos casos em que a Administração Pública, por diligência, admitir saneamento documental, desde que não haja prejuízo à isonomia entre os participantes.</w:t>
      </w:r>
    </w:p>
    <w:p w14:paraId="559AB224">
      <w:pPr>
        <w:pStyle w:val="10"/>
        <w:spacing w:before="0" w:after="0" w:line="360" w:lineRule="auto"/>
        <w:ind w:firstLine="708"/>
        <w:jc w:val="both"/>
        <w:rPr>
          <w:sz w:val="22"/>
          <w:szCs w:val="22"/>
        </w:rPr>
      </w:pPr>
      <w:r>
        <w:rPr>
          <w:sz w:val="22"/>
          <w:szCs w:val="22"/>
        </w:rPr>
        <w:t>O agente cultural que possuir pendências impeditivas junto à Administração Pública poderá ser impedido de celebrar o instrumento jurídico e de receber os recursos, garantido o contraditório e a ampla defesa.</w:t>
      </w:r>
    </w:p>
    <w:p w14:paraId="14C744CE">
      <w:pPr>
        <w:pStyle w:val="10"/>
        <w:spacing w:before="0" w:after="0" w:line="360" w:lineRule="auto"/>
        <w:ind w:firstLine="708"/>
        <w:jc w:val="both"/>
        <w:rPr>
          <w:sz w:val="22"/>
          <w:szCs w:val="22"/>
        </w:rPr>
      </w:pPr>
      <w:r>
        <w:rPr>
          <w:sz w:val="22"/>
          <w:szCs w:val="22"/>
        </w:rPr>
        <w:t>Na hipótese de inabilitação, serão convocados novos proponentes, obedecendo-se rigorosamente à ordem de classificação dos projetos e às regras de cotas.</w:t>
      </w:r>
    </w:p>
    <w:p w14:paraId="1A72460C">
      <w:pPr>
        <w:pStyle w:val="10"/>
        <w:spacing w:before="0" w:after="0" w:line="360" w:lineRule="auto"/>
        <w:ind w:firstLine="708"/>
        <w:jc w:val="both"/>
        <w:rPr>
          <w:sz w:val="22"/>
          <w:szCs w:val="22"/>
        </w:rPr>
      </w:pPr>
      <w:r>
        <w:rPr>
          <w:sz w:val="22"/>
          <w:szCs w:val="22"/>
        </w:rPr>
        <w:t>A Administração Pública poderá realizar diligências para esclarecimentos ou complementação documental, quando necessário.</w:t>
      </w:r>
    </w:p>
    <w:p w14:paraId="2CF6098F">
      <w:pPr>
        <w:pStyle w:val="9"/>
        <w:spacing w:line="360" w:lineRule="auto"/>
        <w:jc w:val="both"/>
        <w:rPr>
          <w:sz w:val="22"/>
          <w:szCs w:val="22"/>
        </w:rPr>
      </w:pPr>
    </w:p>
    <w:p w14:paraId="5F6E7658">
      <w:pPr>
        <w:pStyle w:val="9"/>
        <w:spacing w:line="360" w:lineRule="auto"/>
        <w:jc w:val="both"/>
        <w:rPr>
          <w:sz w:val="22"/>
          <w:szCs w:val="22"/>
        </w:rPr>
      </w:pPr>
    </w:p>
    <w:p w14:paraId="75D98C8F">
      <w:pPr>
        <w:pStyle w:val="15"/>
        <w:spacing w:before="0" w:after="0" w:line="360" w:lineRule="auto"/>
        <w:ind w:firstLine="708"/>
        <w:jc w:val="both"/>
        <w:rPr>
          <w:sz w:val="22"/>
          <w:szCs w:val="22"/>
        </w:rPr>
      </w:pPr>
      <w:r>
        <w:rPr>
          <w:sz w:val="22"/>
          <w:szCs w:val="22"/>
        </w:rPr>
        <w:t>9.3. Recurso da etapa de habilitação</w:t>
      </w:r>
    </w:p>
    <w:p w14:paraId="35F25372">
      <w:pPr>
        <w:pStyle w:val="10"/>
        <w:spacing w:before="0" w:after="0" w:line="360" w:lineRule="auto"/>
        <w:ind w:firstLine="708"/>
        <w:jc w:val="both"/>
        <w:rPr>
          <w:sz w:val="22"/>
          <w:szCs w:val="22"/>
        </w:rPr>
      </w:pPr>
      <w:r>
        <w:rPr>
          <w:sz w:val="22"/>
          <w:szCs w:val="22"/>
        </w:rPr>
        <w:t>Contra a decisão da etapa de habilitação caberá recurso administrativo, a ser interposto no prazo de 3 (três) dias úteis, contados a partir do primeiro dia útil subsequente à publicação do resultado preliminar da habilitação.</w:t>
      </w:r>
    </w:p>
    <w:p w14:paraId="1206BAD0">
      <w:pPr>
        <w:pStyle w:val="10"/>
        <w:spacing w:before="0" w:after="0" w:line="360" w:lineRule="auto"/>
        <w:ind w:firstLine="708"/>
        <w:jc w:val="both"/>
        <w:rPr>
          <w:sz w:val="22"/>
          <w:szCs w:val="22"/>
        </w:rPr>
      </w:pPr>
      <w:r>
        <w:rPr>
          <w:sz w:val="22"/>
          <w:szCs w:val="22"/>
        </w:rPr>
        <w:t>O recurso deverá ser apresentado por protocolo presencial na Secretaria Municipal de Cultura ou por outro meio oficial indicado pela Administração Pública na publicação do resultado.</w:t>
      </w:r>
    </w:p>
    <w:p w14:paraId="608D2B7F">
      <w:pPr>
        <w:pStyle w:val="10"/>
        <w:spacing w:before="0" w:after="0" w:line="360" w:lineRule="auto"/>
        <w:ind w:firstLine="708"/>
        <w:jc w:val="both"/>
        <w:rPr>
          <w:sz w:val="22"/>
          <w:szCs w:val="22"/>
        </w:rPr>
      </w:pPr>
      <w:r>
        <w:rPr>
          <w:sz w:val="22"/>
          <w:szCs w:val="22"/>
        </w:rPr>
        <w:t>Os recursos serão analisados por instância competente distinta da responsável pela habilitação, designada pela Administração Pública.</w:t>
      </w:r>
    </w:p>
    <w:p w14:paraId="4D724C1D">
      <w:pPr>
        <w:pStyle w:val="10"/>
        <w:spacing w:before="0" w:after="0" w:line="360" w:lineRule="auto"/>
        <w:ind w:firstLine="708"/>
        <w:jc w:val="both"/>
        <w:rPr>
          <w:sz w:val="22"/>
          <w:szCs w:val="22"/>
        </w:rPr>
      </w:pPr>
      <w:r>
        <w:rPr>
          <w:sz w:val="22"/>
          <w:szCs w:val="22"/>
        </w:rPr>
        <w:t>Não serão conhecidos recursos interpostos fora do prazo ou em desacordo com as regras estabelecidas neste edital.</w:t>
      </w:r>
    </w:p>
    <w:p w14:paraId="629A4ACE">
      <w:pPr>
        <w:pStyle w:val="10"/>
        <w:spacing w:before="0" w:after="0" w:line="360" w:lineRule="auto"/>
        <w:ind w:firstLine="708"/>
        <w:jc w:val="both"/>
        <w:rPr>
          <w:sz w:val="22"/>
          <w:szCs w:val="22"/>
        </w:rPr>
      </w:pPr>
      <w:r>
        <w:rPr>
          <w:sz w:val="22"/>
          <w:szCs w:val="22"/>
        </w:rPr>
        <w:t>Após a análise dos recursos, será publicado o resultado final da etapa de habilitação no site oficial da Prefeitura Municipal de Silvianópolis/MG e/ou no Quadro de Avisos da Prefeitura.</w:t>
      </w:r>
    </w:p>
    <w:p w14:paraId="0249A313">
      <w:pPr>
        <w:pStyle w:val="10"/>
        <w:spacing w:before="0" w:after="0" w:line="360" w:lineRule="auto"/>
        <w:ind w:firstLine="708"/>
        <w:jc w:val="both"/>
        <w:rPr>
          <w:sz w:val="22"/>
          <w:szCs w:val="22"/>
        </w:rPr>
      </w:pPr>
      <w:r>
        <w:rPr>
          <w:sz w:val="22"/>
          <w:szCs w:val="22"/>
        </w:rPr>
        <w:t>Encerrada esta fase, não caberá novo recurso administrativo.</w:t>
      </w:r>
    </w:p>
    <w:p w14:paraId="3396856D">
      <w:pPr>
        <w:pStyle w:val="9"/>
        <w:spacing w:line="360" w:lineRule="auto"/>
        <w:jc w:val="both"/>
        <w:rPr>
          <w:sz w:val="22"/>
          <w:szCs w:val="22"/>
        </w:rPr>
      </w:pPr>
    </w:p>
    <w:p w14:paraId="2BBEF6DF">
      <w:pPr>
        <w:pStyle w:val="9"/>
        <w:spacing w:line="360" w:lineRule="auto"/>
        <w:jc w:val="both"/>
        <w:rPr>
          <w:sz w:val="22"/>
          <w:szCs w:val="22"/>
        </w:rPr>
      </w:pPr>
      <w:r>
        <w:rPr>
          <w:sz w:val="22"/>
          <w:szCs w:val="22"/>
        </w:rPr>
        <w:t>______________________________________</w:t>
      </w:r>
    </w:p>
    <w:p w14:paraId="03A2FE13">
      <w:pPr>
        <w:pStyle w:val="14"/>
        <w:spacing w:before="0" w:after="0" w:line="360" w:lineRule="auto"/>
        <w:jc w:val="both"/>
        <w:rPr>
          <w:sz w:val="22"/>
          <w:szCs w:val="22"/>
        </w:rPr>
      </w:pPr>
      <w:r>
        <w:rPr>
          <w:sz w:val="22"/>
          <w:szCs w:val="22"/>
        </w:rPr>
        <w:t>10. ASSINATURA DO TERMO DE EXECUÇÃO CULTURAL E RECEBIMENTO DOS RECURSOS FINANCEIROS</w:t>
      </w:r>
    </w:p>
    <w:p w14:paraId="241CF0DD">
      <w:pPr>
        <w:pStyle w:val="15"/>
        <w:spacing w:before="0" w:after="0" w:line="360" w:lineRule="auto"/>
        <w:jc w:val="both"/>
        <w:rPr>
          <w:sz w:val="22"/>
          <w:szCs w:val="22"/>
        </w:rPr>
      </w:pPr>
    </w:p>
    <w:p w14:paraId="1EF9C651">
      <w:pPr>
        <w:pStyle w:val="15"/>
        <w:spacing w:before="0" w:after="0" w:line="360" w:lineRule="auto"/>
        <w:ind w:firstLine="708"/>
        <w:jc w:val="both"/>
        <w:rPr>
          <w:sz w:val="22"/>
          <w:szCs w:val="22"/>
        </w:rPr>
      </w:pPr>
      <w:r>
        <w:rPr>
          <w:sz w:val="22"/>
          <w:szCs w:val="22"/>
        </w:rPr>
        <w:t>10.1. Termo de Execução Cultural</w:t>
      </w:r>
    </w:p>
    <w:p w14:paraId="6F39D9BB">
      <w:pPr>
        <w:pStyle w:val="10"/>
        <w:spacing w:before="0" w:after="0" w:line="360" w:lineRule="auto"/>
        <w:ind w:firstLine="708"/>
        <w:jc w:val="both"/>
        <w:rPr>
          <w:sz w:val="22"/>
          <w:szCs w:val="22"/>
        </w:rPr>
      </w:pPr>
      <w:r>
        <w:rPr>
          <w:sz w:val="22"/>
          <w:szCs w:val="22"/>
        </w:rPr>
        <w:t>Concluída a etapa de habilitação, os agentes culturais contemplados serão convocados para assinatura do Termo de Execução Cultural, conforme modelo constante no Anexo IV.</w:t>
      </w:r>
    </w:p>
    <w:p w14:paraId="7C5EAED9">
      <w:pPr>
        <w:pStyle w:val="10"/>
        <w:spacing w:before="0" w:after="0" w:line="360" w:lineRule="auto"/>
        <w:ind w:firstLine="708"/>
        <w:jc w:val="both"/>
        <w:rPr>
          <w:sz w:val="22"/>
          <w:szCs w:val="22"/>
        </w:rPr>
      </w:pPr>
      <w:r>
        <w:rPr>
          <w:sz w:val="22"/>
          <w:szCs w:val="22"/>
        </w:rPr>
        <w:t>A assinatura poderá ocorrer de forma presencial ou eletrônica, conforme definido pela Administração Pública.</w:t>
      </w:r>
    </w:p>
    <w:p w14:paraId="17C0E105">
      <w:pPr>
        <w:pStyle w:val="10"/>
        <w:spacing w:before="0" w:after="0" w:line="360" w:lineRule="auto"/>
        <w:ind w:firstLine="708"/>
        <w:jc w:val="both"/>
        <w:rPr>
          <w:sz w:val="22"/>
          <w:szCs w:val="22"/>
        </w:rPr>
      </w:pPr>
      <w:r>
        <w:rPr>
          <w:sz w:val="22"/>
          <w:szCs w:val="22"/>
        </w:rPr>
        <w:t>O Termo de Execução Cultural estabelecerá as obrigações das partes, incluindo o objeto pactuado, o valor do apoio financeiro, o prazo de execução, a forma de repasse, as responsabilidades do agente cultural, as medidas de acessibilidade, as regras de divulgação institucional, os procedimentos de monitoramento e a forma de apresentação do Relatório de Execução do Objeto, sem caracterizar prestação de serviços à Administração Pública.</w:t>
      </w:r>
    </w:p>
    <w:p w14:paraId="5D8B7186">
      <w:pPr>
        <w:pStyle w:val="10"/>
        <w:spacing w:before="0" w:after="0" w:line="360" w:lineRule="auto"/>
        <w:ind w:firstLine="708"/>
        <w:jc w:val="both"/>
        <w:rPr>
          <w:sz w:val="22"/>
          <w:szCs w:val="22"/>
        </w:rPr>
      </w:pPr>
      <w:r>
        <w:rPr>
          <w:sz w:val="22"/>
          <w:szCs w:val="22"/>
        </w:rPr>
        <w:t>O agente cultural deverá assinar o Termo de Execução Cultural no prazo de 5 (cinco) dias úteis, contados da convocação oficial, sob pena de perda do direito ao apoio financeiro e convocação do suplente, respeitada a ordem de classificação, as regras de cotas e a disponibilidade orçamentária e financeira.</w:t>
      </w:r>
    </w:p>
    <w:p w14:paraId="498F0662">
      <w:pPr>
        <w:pStyle w:val="9"/>
        <w:spacing w:line="360" w:lineRule="auto"/>
        <w:jc w:val="both"/>
        <w:rPr>
          <w:sz w:val="22"/>
          <w:szCs w:val="22"/>
        </w:rPr>
      </w:pPr>
    </w:p>
    <w:p w14:paraId="0EF4BC3D">
      <w:pPr>
        <w:pStyle w:val="15"/>
        <w:spacing w:before="0" w:after="0" w:line="360" w:lineRule="auto"/>
        <w:ind w:firstLine="708"/>
        <w:jc w:val="both"/>
        <w:rPr>
          <w:sz w:val="22"/>
          <w:szCs w:val="22"/>
        </w:rPr>
      </w:pPr>
      <w:r>
        <w:rPr>
          <w:sz w:val="22"/>
          <w:szCs w:val="22"/>
        </w:rPr>
        <w:t>10.2. Recebimento dos recursos financeiros</w:t>
      </w:r>
    </w:p>
    <w:p w14:paraId="5DE63372">
      <w:pPr>
        <w:pStyle w:val="10"/>
        <w:spacing w:before="0" w:after="0" w:line="360" w:lineRule="auto"/>
        <w:ind w:firstLine="708"/>
        <w:jc w:val="both"/>
        <w:rPr>
          <w:sz w:val="22"/>
          <w:szCs w:val="22"/>
        </w:rPr>
      </w:pPr>
      <w:r>
        <w:rPr>
          <w:sz w:val="22"/>
          <w:szCs w:val="22"/>
        </w:rPr>
        <w:t>Após a assinatura do Termo de Execução Cultural, os recursos financeiros serão repassados ao agente cultural em conta bancária de sua titularidade, destinada à execução do projeto.</w:t>
      </w:r>
    </w:p>
    <w:p w14:paraId="217C25C9">
      <w:pPr>
        <w:pStyle w:val="10"/>
        <w:spacing w:before="0" w:after="0" w:line="360" w:lineRule="auto"/>
        <w:ind w:firstLine="708"/>
        <w:jc w:val="both"/>
        <w:rPr>
          <w:sz w:val="22"/>
          <w:szCs w:val="22"/>
        </w:rPr>
      </w:pPr>
      <w:r>
        <w:rPr>
          <w:sz w:val="22"/>
          <w:szCs w:val="22"/>
        </w:rPr>
        <w:t>O pagamento poderá ser realizado em parcela única ou em parcelas, conforme cronograma definido no Termo de Execução Cultural.</w:t>
      </w:r>
    </w:p>
    <w:p w14:paraId="65FF7EA1">
      <w:pPr>
        <w:pStyle w:val="10"/>
        <w:spacing w:before="0" w:after="0" w:line="360" w:lineRule="auto"/>
        <w:ind w:firstLine="708"/>
        <w:jc w:val="both"/>
        <w:rPr>
          <w:sz w:val="22"/>
          <w:szCs w:val="22"/>
        </w:rPr>
      </w:pPr>
      <w:r>
        <w:rPr>
          <w:sz w:val="22"/>
          <w:szCs w:val="22"/>
        </w:rPr>
        <w:t>Para fins de recebimento, o agente cultural deverá providenciar a abertura de conta bancária específica ou indicar conta apta ao recebimento dos recursos, observadas as orientações da Administração Pública e a legislação aplicável.</w:t>
      </w:r>
    </w:p>
    <w:p w14:paraId="2E0A53C1">
      <w:pPr>
        <w:pStyle w:val="10"/>
        <w:spacing w:before="0" w:after="0" w:line="360" w:lineRule="auto"/>
        <w:ind w:firstLine="708"/>
        <w:jc w:val="both"/>
        <w:rPr>
          <w:sz w:val="22"/>
          <w:szCs w:val="22"/>
        </w:rPr>
      </w:pPr>
      <w:r>
        <w:rPr>
          <w:sz w:val="22"/>
          <w:szCs w:val="22"/>
        </w:rPr>
        <w:t>A liberação dos recursos está condicionada à disponibilidade orçamentária e financeira, à regularidade do processo administrativo e à formalização do Termo de Execução Cultural.</w:t>
      </w:r>
    </w:p>
    <w:p w14:paraId="57F0D7EE">
      <w:pPr>
        <w:pStyle w:val="9"/>
        <w:spacing w:line="360" w:lineRule="auto"/>
        <w:jc w:val="both"/>
        <w:rPr>
          <w:sz w:val="22"/>
          <w:szCs w:val="22"/>
        </w:rPr>
      </w:pPr>
    </w:p>
    <w:p w14:paraId="05511BD7">
      <w:pPr>
        <w:pStyle w:val="9"/>
        <w:spacing w:line="360" w:lineRule="auto"/>
        <w:jc w:val="both"/>
        <w:rPr>
          <w:sz w:val="22"/>
          <w:szCs w:val="22"/>
        </w:rPr>
      </w:pPr>
      <w:r>
        <w:rPr>
          <w:sz w:val="22"/>
          <w:szCs w:val="22"/>
        </w:rPr>
        <w:t>______________________________________</w:t>
      </w:r>
    </w:p>
    <w:p w14:paraId="5F151D47">
      <w:pPr>
        <w:pStyle w:val="14"/>
        <w:spacing w:before="0" w:after="0" w:line="360" w:lineRule="auto"/>
        <w:jc w:val="both"/>
        <w:rPr>
          <w:sz w:val="22"/>
          <w:szCs w:val="22"/>
        </w:rPr>
      </w:pPr>
      <w:r>
        <w:rPr>
          <w:sz w:val="22"/>
          <w:szCs w:val="22"/>
        </w:rPr>
        <w:t>11. DIVULGAÇÃO DOS PROJETOS</w:t>
      </w:r>
    </w:p>
    <w:p w14:paraId="73B0F84E">
      <w:pPr>
        <w:pStyle w:val="10"/>
        <w:spacing w:before="0" w:after="0" w:line="360" w:lineRule="auto"/>
        <w:jc w:val="both"/>
        <w:rPr>
          <w:sz w:val="22"/>
          <w:szCs w:val="22"/>
        </w:rPr>
      </w:pPr>
    </w:p>
    <w:p w14:paraId="48110B94">
      <w:pPr>
        <w:pStyle w:val="10"/>
        <w:spacing w:before="0" w:after="0" w:line="360" w:lineRule="auto"/>
        <w:ind w:firstLine="708"/>
        <w:jc w:val="both"/>
        <w:rPr>
          <w:sz w:val="22"/>
          <w:szCs w:val="22"/>
        </w:rPr>
      </w:pPr>
      <w:r>
        <w:rPr>
          <w:sz w:val="22"/>
          <w:szCs w:val="22"/>
        </w:rPr>
        <w:t>Os projetos contemplados deverão assegurar adequada divulgação institucional, incluindo a aplicação das marcas do Governo Federal, do Ministério da Cultura, da Política Nacional Aldir Blanc e do Município de Silvianópolis/MG, conforme orientações oficiais aplicáveis.</w:t>
      </w:r>
    </w:p>
    <w:p w14:paraId="081DA8DB">
      <w:pPr>
        <w:pStyle w:val="10"/>
        <w:spacing w:before="0" w:after="0" w:line="360" w:lineRule="auto"/>
        <w:ind w:firstLine="708"/>
        <w:jc w:val="both"/>
        <w:rPr>
          <w:sz w:val="22"/>
          <w:szCs w:val="22"/>
        </w:rPr>
      </w:pPr>
      <w:r>
        <w:rPr>
          <w:sz w:val="22"/>
          <w:szCs w:val="22"/>
        </w:rPr>
        <w:t>A divulgação deverá observar as restrições previstas na Lei nº 9.504/1997, quando aplicável, especialmente em período eleitoral, sendo vedada qualquer forma de promoção pessoal de autoridades ou agentes públicos.</w:t>
      </w:r>
    </w:p>
    <w:p w14:paraId="5A9D6D4F">
      <w:pPr>
        <w:pStyle w:val="10"/>
        <w:spacing w:before="0" w:after="0" w:line="360" w:lineRule="auto"/>
        <w:ind w:firstLine="708"/>
        <w:jc w:val="both"/>
        <w:rPr>
          <w:sz w:val="22"/>
          <w:szCs w:val="22"/>
        </w:rPr>
      </w:pPr>
      <w:r>
        <w:rPr>
          <w:sz w:val="22"/>
          <w:szCs w:val="22"/>
        </w:rPr>
        <w:t>Todo material de divulgação e os produtos culturais resultantes do projeto deverão conter informações claras sobre os recursos de acessibilidade disponibilizados, ser disponibilizados, sempre que possível, em formatos acessíveis, e possuir caráter educativo, informativo ou de orientação social.</w:t>
      </w:r>
    </w:p>
    <w:p w14:paraId="5066B821">
      <w:pPr>
        <w:pStyle w:val="10"/>
        <w:spacing w:before="0" w:after="0" w:line="360" w:lineRule="auto"/>
        <w:ind w:firstLine="708"/>
        <w:jc w:val="both"/>
        <w:rPr>
          <w:sz w:val="22"/>
          <w:szCs w:val="22"/>
        </w:rPr>
      </w:pPr>
      <w:r>
        <w:rPr>
          <w:sz w:val="22"/>
          <w:szCs w:val="22"/>
        </w:rPr>
        <w:t>É vedada a inserção de nomes, símbolos ou imagens que caracterizem promoção pessoal de agentes públicos, nos termos do art. 37, § 1º, da Constituição Federal.</w:t>
      </w:r>
    </w:p>
    <w:p w14:paraId="0FB2B583">
      <w:pPr>
        <w:pStyle w:val="9"/>
        <w:spacing w:line="360" w:lineRule="auto"/>
        <w:jc w:val="both"/>
        <w:rPr>
          <w:sz w:val="22"/>
          <w:szCs w:val="22"/>
        </w:rPr>
      </w:pPr>
    </w:p>
    <w:p w14:paraId="15397BEB">
      <w:pPr>
        <w:pStyle w:val="9"/>
        <w:spacing w:line="360" w:lineRule="auto"/>
        <w:jc w:val="both"/>
        <w:rPr>
          <w:sz w:val="22"/>
          <w:szCs w:val="22"/>
        </w:rPr>
      </w:pPr>
      <w:r>
        <w:rPr>
          <w:sz w:val="22"/>
          <w:szCs w:val="22"/>
        </w:rPr>
        <w:t>______________________________________</w:t>
      </w:r>
    </w:p>
    <w:p w14:paraId="55EA2F2A">
      <w:pPr>
        <w:pStyle w:val="14"/>
        <w:spacing w:before="0" w:after="0" w:line="360" w:lineRule="auto"/>
        <w:jc w:val="both"/>
        <w:rPr>
          <w:sz w:val="22"/>
          <w:szCs w:val="22"/>
        </w:rPr>
      </w:pPr>
      <w:r>
        <w:rPr>
          <w:sz w:val="22"/>
          <w:szCs w:val="22"/>
        </w:rPr>
        <w:t>12. MONITORAMENTO E AVALIAÇÃO DE RESULTADOS</w:t>
      </w:r>
    </w:p>
    <w:p w14:paraId="78477FBB">
      <w:pPr>
        <w:pStyle w:val="15"/>
        <w:spacing w:before="0" w:after="0" w:line="360" w:lineRule="auto"/>
        <w:jc w:val="both"/>
        <w:rPr>
          <w:sz w:val="22"/>
          <w:szCs w:val="22"/>
        </w:rPr>
      </w:pPr>
    </w:p>
    <w:p w14:paraId="14205087">
      <w:pPr>
        <w:pStyle w:val="15"/>
        <w:spacing w:before="0" w:after="0" w:line="360" w:lineRule="auto"/>
        <w:ind w:firstLine="708"/>
        <w:jc w:val="both"/>
        <w:rPr>
          <w:sz w:val="22"/>
          <w:szCs w:val="22"/>
        </w:rPr>
      </w:pPr>
      <w:r>
        <w:rPr>
          <w:sz w:val="22"/>
          <w:szCs w:val="22"/>
        </w:rPr>
        <w:t>12.1. Monitoramento e avaliação</w:t>
      </w:r>
    </w:p>
    <w:p w14:paraId="36BDFE98">
      <w:pPr>
        <w:pStyle w:val="10"/>
        <w:spacing w:before="0" w:after="0" w:line="360" w:lineRule="auto"/>
        <w:ind w:firstLine="708"/>
        <w:jc w:val="both"/>
        <w:rPr>
          <w:sz w:val="22"/>
          <w:szCs w:val="22"/>
        </w:rPr>
      </w:pPr>
      <w:r>
        <w:rPr>
          <w:sz w:val="22"/>
          <w:szCs w:val="22"/>
        </w:rPr>
        <w:t>O monitoramento e a avaliação dos projetos contemplados serão realizados pela Secretaria Municipal de Cultura, em conformidade com a Lei nº 14.903/2024 e o Decreto nº 11.453/2023, observando os princípios da legalidade, eficiência, controle de resultados e verificação do cumprimento integral do objeto pactuado.</w:t>
      </w:r>
    </w:p>
    <w:p w14:paraId="026AFE32">
      <w:pPr>
        <w:pStyle w:val="10"/>
        <w:spacing w:before="0" w:after="0" w:line="360" w:lineRule="auto"/>
        <w:ind w:firstLine="708"/>
        <w:jc w:val="both"/>
        <w:rPr>
          <w:sz w:val="22"/>
          <w:szCs w:val="22"/>
        </w:rPr>
      </w:pPr>
      <w:r>
        <w:rPr>
          <w:sz w:val="22"/>
          <w:szCs w:val="22"/>
        </w:rPr>
        <w:t>A Secretaria Municipal de Cultura realizará acompanhamento da execução dos projetos, podendo adotar, entre outros, os seguintes instrumentos de monitoramento e avaliação:</w:t>
      </w:r>
    </w:p>
    <w:p w14:paraId="549973A6">
      <w:pPr>
        <w:pStyle w:val="10"/>
        <w:spacing w:before="0" w:after="0" w:line="360" w:lineRule="auto"/>
        <w:ind w:left="708"/>
        <w:jc w:val="both"/>
        <w:rPr>
          <w:sz w:val="22"/>
          <w:szCs w:val="22"/>
        </w:rPr>
      </w:pPr>
      <w:r>
        <w:rPr>
          <w:sz w:val="22"/>
          <w:szCs w:val="22"/>
        </w:rPr>
        <w:t>I – Análise técnica dos relatórios apresentados pelo agente cultural, com verificação da compatibilidade entre execução e Plano de Trabalho aprovado;</w:t>
      </w:r>
    </w:p>
    <w:p w14:paraId="18CD2BB0">
      <w:pPr>
        <w:pStyle w:val="10"/>
        <w:spacing w:before="0" w:after="0" w:line="360" w:lineRule="auto"/>
        <w:ind w:left="708"/>
        <w:jc w:val="both"/>
        <w:rPr>
          <w:sz w:val="22"/>
          <w:szCs w:val="22"/>
        </w:rPr>
      </w:pPr>
      <w:r>
        <w:rPr>
          <w:sz w:val="22"/>
          <w:szCs w:val="22"/>
        </w:rPr>
        <w:t>II – Realização de visitas técnicas in loco, com ou sem aviso prévio, para verificação da execução física das atividades;</w:t>
      </w:r>
    </w:p>
    <w:p w14:paraId="4E66221E">
      <w:pPr>
        <w:pStyle w:val="10"/>
        <w:spacing w:before="0" w:after="0" w:line="360" w:lineRule="auto"/>
        <w:ind w:left="708"/>
        <w:jc w:val="both"/>
        <w:rPr>
          <w:sz w:val="22"/>
          <w:szCs w:val="22"/>
        </w:rPr>
      </w:pPr>
      <w:r>
        <w:rPr>
          <w:sz w:val="22"/>
          <w:szCs w:val="22"/>
        </w:rPr>
        <w:t>III – Exigência e análise de registros comprobatórios, incluindo material fotográfico, audiovisual, documental e outros meios idôneos de comprovação da execução;</w:t>
      </w:r>
    </w:p>
    <w:p w14:paraId="54F683AB">
      <w:pPr>
        <w:pStyle w:val="10"/>
        <w:spacing w:before="0" w:after="0" w:line="360" w:lineRule="auto"/>
        <w:ind w:left="708"/>
        <w:jc w:val="both"/>
        <w:rPr>
          <w:sz w:val="22"/>
          <w:szCs w:val="22"/>
        </w:rPr>
      </w:pPr>
      <w:r>
        <w:rPr>
          <w:sz w:val="22"/>
          <w:szCs w:val="22"/>
        </w:rPr>
        <w:t>IV – Verificação do cumprimento das metas, etapas, cronograma e entregas previstas, com aferição objetiva dos resultados alcançados;</w:t>
      </w:r>
    </w:p>
    <w:p w14:paraId="237EAFD6">
      <w:pPr>
        <w:pStyle w:val="10"/>
        <w:spacing w:before="0" w:after="0" w:line="360" w:lineRule="auto"/>
        <w:ind w:left="708"/>
        <w:jc w:val="both"/>
        <w:rPr>
          <w:sz w:val="22"/>
          <w:szCs w:val="22"/>
        </w:rPr>
      </w:pPr>
      <w:r>
        <w:rPr>
          <w:sz w:val="22"/>
          <w:szCs w:val="22"/>
        </w:rPr>
        <w:t>V – Acompanhamento por meio de sistemas digitais, plataformas de gestão ou outros instrumentos de controle adotados pela Administração Pública.</w:t>
      </w:r>
    </w:p>
    <w:p w14:paraId="4E2C761D">
      <w:pPr>
        <w:pStyle w:val="9"/>
        <w:spacing w:line="360" w:lineRule="auto"/>
        <w:jc w:val="both"/>
        <w:rPr>
          <w:sz w:val="22"/>
          <w:szCs w:val="22"/>
        </w:rPr>
      </w:pPr>
    </w:p>
    <w:p w14:paraId="1ABC1A6B">
      <w:pPr>
        <w:pStyle w:val="10"/>
        <w:spacing w:before="0" w:after="0" w:line="360" w:lineRule="auto"/>
        <w:ind w:firstLine="708"/>
        <w:jc w:val="both"/>
        <w:rPr>
          <w:sz w:val="22"/>
          <w:szCs w:val="22"/>
        </w:rPr>
      </w:pPr>
      <w:r>
        <w:rPr>
          <w:sz w:val="22"/>
          <w:szCs w:val="22"/>
        </w:rPr>
        <w:t>O monitoramento terá caráter fiscalizatório, preventivo e corretivo, podendo a Administração Pública emitir notificações e recomendações para adequação da execução, estabelecer prazos para saneamento de inconsistências e determinar ajustes no projeto para garantir o cumprimento do objeto pactuado.</w:t>
      </w:r>
    </w:p>
    <w:p w14:paraId="7C0FB598">
      <w:pPr>
        <w:pStyle w:val="10"/>
        <w:spacing w:before="0" w:after="0" w:line="360" w:lineRule="auto"/>
        <w:ind w:firstLine="708"/>
        <w:jc w:val="both"/>
        <w:rPr>
          <w:sz w:val="22"/>
          <w:szCs w:val="22"/>
        </w:rPr>
      </w:pPr>
      <w:r>
        <w:rPr>
          <w:sz w:val="22"/>
          <w:szCs w:val="22"/>
        </w:rPr>
        <w:t>O descumprimento das determinações poderá ensejar a aplicação de medidas administrativas cabíveis, garantidos o contraditório e a ampla defesa.</w:t>
      </w:r>
    </w:p>
    <w:p w14:paraId="56583B35">
      <w:pPr>
        <w:pStyle w:val="15"/>
        <w:spacing w:before="0" w:after="0" w:line="360" w:lineRule="auto"/>
        <w:ind w:firstLine="708"/>
        <w:jc w:val="both"/>
        <w:rPr>
          <w:sz w:val="22"/>
          <w:szCs w:val="22"/>
        </w:rPr>
      </w:pPr>
    </w:p>
    <w:p w14:paraId="52A508AB">
      <w:pPr>
        <w:pStyle w:val="15"/>
        <w:spacing w:before="0" w:after="0" w:line="360" w:lineRule="auto"/>
        <w:ind w:firstLine="708"/>
        <w:jc w:val="both"/>
        <w:rPr>
          <w:sz w:val="22"/>
          <w:szCs w:val="22"/>
        </w:rPr>
      </w:pPr>
      <w:r>
        <w:rPr>
          <w:sz w:val="22"/>
          <w:szCs w:val="22"/>
        </w:rPr>
        <w:t>12.2. Prestação de informações e Relatório de Execução do Objeto</w:t>
      </w:r>
    </w:p>
    <w:p w14:paraId="204A6317">
      <w:pPr>
        <w:pStyle w:val="10"/>
        <w:spacing w:before="0" w:after="0" w:line="360" w:lineRule="auto"/>
        <w:ind w:firstLine="708"/>
        <w:jc w:val="both"/>
        <w:rPr>
          <w:sz w:val="22"/>
          <w:szCs w:val="22"/>
        </w:rPr>
      </w:pPr>
      <w:r>
        <w:rPr>
          <w:sz w:val="22"/>
          <w:szCs w:val="22"/>
        </w:rPr>
        <w:t>A prestação de informações ocorrerá na modalidade de comprovação do cumprimento do objeto, mediante apresentação do Relatório de Execução do Objeto, conforme modelo constante no Anexo V.</w:t>
      </w:r>
    </w:p>
    <w:p w14:paraId="60C8211A">
      <w:pPr>
        <w:pStyle w:val="9"/>
        <w:spacing w:line="360" w:lineRule="auto"/>
        <w:jc w:val="both"/>
        <w:rPr>
          <w:sz w:val="22"/>
          <w:szCs w:val="22"/>
        </w:rPr>
      </w:pPr>
    </w:p>
    <w:p w14:paraId="78AAC1AD">
      <w:pPr>
        <w:pStyle w:val="10"/>
        <w:spacing w:before="0" w:after="0" w:line="360" w:lineRule="auto"/>
        <w:ind w:firstLine="708"/>
        <w:jc w:val="both"/>
        <w:rPr>
          <w:sz w:val="22"/>
          <w:szCs w:val="22"/>
        </w:rPr>
      </w:pPr>
      <w:r>
        <w:rPr>
          <w:sz w:val="22"/>
          <w:szCs w:val="22"/>
        </w:rPr>
        <w:t>O relatório deverá ser apresentado no prazo de 30 (trinta) dias, contado a partir do término da vigência de execução prevista no Termo de Execução Cultural.</w:t>
      </w:r>
    </w:p>
    <w:p w14:paraId="49D504E1">
      <w:pPr>
        <w:pStyle w:val="9"/>
        <w:spacing w:line="360" w:lineRule="auto"/>
        <w:jc w:val="both"/>
        <w:rPr>
          <w:sz w:val="22"/>
          <w:szCs w:val="22"/>
        </w:rPr>
      </w:pPr>
    </w:p>
    <w:p w14:paraId="0C290F79">
      <w:pPr>
        <w:pStyle w:val="10"/>
        <w:spacing w:before="0" w:after="0" w:line="360" w:lineRule="auto"/>
        <w:ind w:left="708"/>
        <w:jc w:val="both"/>
        <w:rPr>
          <w:sz w:val="22"/>
          <w:szCs w:val="22"/>
        </w:rPr>
      </w:pPr>
      <w:r>
        <w:rPr>
          <w:sz w:val="22"/>
          <w:szCs w:val="22"/>
        </w:rPr>
        <w:t>O Relatório de Execução do Objeto deverá conter, no mínimo:</w:t>
      </w:r>
    </w:p>
    <w:p w14:paraId="14E2CBA6">
      <w:pPr>
        <w:pStyle w:val="10"/>
        <w:spacing w:before="0" w:after="0" w:line="360" w:lineRule="auto"/>
        <w:ind w:left="708"/>
        <w:jc w:val="both"/>
        <w:rPr>
          <w:sz w:val="22"/>
          <w:szCs w:val="22"/>
        </w:rPr>
      </w:pPr>
      <w:r>
        <w:rPr>
          <w:sz w:val="22"/>
          <w:szCs w:val="22"/>
        </w:rPr>
        <w:t>I – Descrição das atividades realizadas;</w:t>
      </w:r>
    </w:p>
    <w:p w14:paraId="567F753B">
      <w:pPr>
        <w:pStyle w:val="10"/>
        <w:spacing w:before="0" w:after="0" w:line="360" w:lineRule="auto"/>
        <w:ind w:left="708"/>
        <w:jc w:val="both"/>
        <w:rPr>
          <w:sz w:val="22"/>
          <w:szCs w:val="22"/>
        </w:rPr>
      </w:pPr>
      <w:r>
        <w:rPr>
          <w:sz w:val="22"/>
          <w:szCs w:val="22"/>
        </w:rPr>
        <w:t>II – Comprovação das entregas e resultados alcançados;</w:t>
      </w:r>
    </w:p>
    <w:p w14:paraId="7CF3E815">
      <w:pPr>
        <w:pStyle w:val="10"/>
        <w:spacing w:before="0" w:after="0" w:line="360" w:lineRule="auto"/>
        <w:ind w:left="708"/>
        <w:jc w:val="both"/>
        <w:rPr>
          <w:sz w:val="22"/>
          <w:szCs w:val="22"/>
        </w:rPr>
      </w:pPr>
      <w:r>
        <w:rPr>
          <w:sz w:val="22"/>
          <w:szCs w:val="22"/>
        </w:rPr>
        <w:t>III – Registros comprobatórios, tais como fotos, vídeos, links, materiais de divulgação, listas de presença e demais evidências pertinentes;</w:t>
      </w:r>
    </w:p>
    <w:p w14:paraId="1CE983C4">
      <w:pPr>
        <w:pStyle w:val="10"/>
        <w:spacing w:before="0" w:after="0" w:line="360" w:lineRule="auto"/>
        <w:ind w:left="708"/>
        <w:jc w:val="both"/>
        <w:rPr>
          <w:sz w:val="22"/>
          <w:szCs w:val="22"/>
        </w:rPr>
      </w:pPr>
      <w:r>
        <w:rPr>
          <w:sz w:val="22"/>
          <w:szCs w:val="22"/>
        </w:rPr>
        <w:t>IV – Informações sobre o público atendido e o alcance das ações;</w:t>
      </w:r>
    </w:p>
    <w:p w14:paraId="0DAEAF72">
      <w:pPr>
        <w:pStyle w:val="10"/>
        <w:spacing w:before="0" w:after="0" w:line="360" w:lineRule="auto"/>
        <w:ind w:left="708"/>
        <w:jc w:val="both"/>
        <w:rPr>
          <w:sz w:val="22"/>
          <w:szCs w:val="22"/>
        </w:rPr>
      </w:pPr>
      <w:r>
        <w:rPr>
          <w:sz w:val="22"/>
          <w:szCs w:val="22"/>
        </w:rPr>
        <w:t>V – Evidências da aplicação das medidas de acessibilidade previstas.</w:t>
      </w:r>
    </w:p>
    <w:p w14:paraId="018D7332">
      <w:pPr>
        <w:pStyle w:val="9"/>
        <w:spacing w:line="360" w:lineRule="auto"/>
        <w:jc w:val="both"/>
        <w:rPr>
          <w:sz w:val="22"/>
          <w:szCs w:val="22"/>
        </w:rPr>
      </w:pPr>
    </w:p>
    <w:p w14:paraId="2A890348">
      <w:pPr>
        <w:pStyle w:val="10"/>
        <w:spacing w:before="0" w:after="0" w:line="360" w:lineRule="auto"/>
        <w:ind w:firstLine="708"/>
        <w:jc w:val="both"/>
        <w:rPr>
          <w:sz w:val="22"/>
          <w:szCs w:val="22"/>
        </w:rPr>
      </w:pPr>
      <w:r>
        <w:rPr>
          <w:sz w:val="22"/>
          <w:szCs w:val="22"/>
        </w:rPr>
        <w:t>A apresentação de relatório financeiro será exigida exclusivamente nas hipóteses previstas na legislação aplicável, especialmente quando não for possível aferir o cumprimento do objeto por meio do relatório apresentado ou quando houver denúncia formal de irregularidade admitida pela Administração Pública.</w:t>
      </w:r>
    </w:p>
    <w:p w14:paraId="3C5BA19E">
      <w:pPr>
        <w:pStyle w:val="10"/>
        <w:spacing w:before="0" w:after="0" w:line="360" w:lineRule="auto"/>
        <w:ind w:firstLine="708"/>
        <w:jc w:val="both"/>
        <w:rPr>
          <w:sz w:val="22"/>
          <w:szCs w:val="22"/>
        </w:rPr>
      </w:pPr>
      <w:r>
        <w:rPr>
          <w:sz w:val="22"/>
          <w:szCs w:val="22"/>
        </w:rPr>
        <w:t>A Administração Pública poderá solicitar esclarecimentos, complementações ou realizar diligências para verificação das informações prestadas.</w:t>
      </w:r>
    </w:p>
    <w:p w14:paraId="2253EFC9">
      <w:pPr>
        <w:pStyle w:val="9"/>
        <w:spacing w:line="360" w:lineRule="auto"/>
        <w:jc w:val="both"/>
        <w:rPr>
          <w:sz w:val="22"/>
          <w:szCs w:val="22"/>
        </w:rPr>
      </w:pPr>
    </w:p>
    <w:p w14:paraId="30556D4B">
      <w:pPr>
        <w:pStyle w:val="9"/>
        <w:spacing w:line="360" w:lineRule="auto"/>
        <w:jc w:val="both"/>
        <w:rPr>
          <w:sz w:val="22"/>
          <w:szCs w:val="22"/>
        </w:rPr>
      </w:pPr>
      <w:r>
        <w:rPr>
          <w:sz w:val="22"/>
          <w:szCs w:val="22"/>
        </w:rPr>
        <w:t>______________________________________</w:t>
      </w:r>
    </w:p>
    <w:p w14:paraId="0922AD24">
      <w:pPr>
        <w:pStyle w:val="14"/>
        <w:spacing w:before="0" w:after="0" w:line="360" w:lineRule="auto"/>
        <w:jc w:val="both"/>
        <w:rPr>
          <w:sz w:val="22"/>
          <w:szCs w:val="22"/>
        </w:rPr>
      </w:pPr>
      <w:r>
        <w:rPr>
          <w:sz w:val="22"/>
          <w:szCs w:val="22"/>
        </w:rPr>
        <w:t>13. DISPOSIÇÕES FINAIS</w:t>
      </w:r>
    </w:p>
    <w:p w14:paraId="2D27ACF4">
      <w:pPr>
        <w:pStyle w:val="15"/>
        <w:spacing w:before="0" w:after="0" w:line="360" w:lineRule="auto"/>
        <w:jc w:val="both"/>
        <w:rPr>
          <w:sz w:val="22"/>
          <w:szCs w:val="22"/>
        </w:rPr>
      </w:pPr>
    </w:p>
    <w:p w14:paraId="1258FD9F">
      <w:pPr>
        <w:pStyle w:val="15"/>
        <w:spacing w:before="0" w:after="0" w:line="360" w:lineRule="auto"/>
        <w:ind w:firstLine="708"/>
        <w:jc w:val="both"/>
        <w:rPr>
          <w:sz w:val="22"/>
          <w:szCs w:val="22"/>
        </w:rPr>
      </w:pPr>
      <w:r>
        <w:rPr>
          <w:sz w:val="22"/>
          <w:szCs w:val="22"/>
        </w:rPr>
        <w:t>13.1. Desclassificação e penalidades</w:t>
      </w:r>
    </w:p>
    <w:p w14:paraId="7B06716F">
      <w:pPr>
        <w:pStyle w:val="10"/>
        <w:spacing w:before="0" w:after="0" w:line="360" w:lineRule="auto"/>
        <w:ind w:firstLine="708"/>
        <w:jc w:val="both"/>
        <w:rPr>
          <w:sz w:val="22"/>
          <w:szCs w:val="22"/>
        </w:rPr>
      </w:pPr>
      <w:r>
        <w:rPr>
          <w:sz w:val="22"/>
          <w:szCs w:val="22"/>
        </w:rPr>
        <w:t>Serão desclassificados, a qualquer tempo, os projetos que apresentem conteúdo ou práticas discriminatórias de qualquer natureza, incluindo preconceito por motivo de origem, raça, etnia, gênero, cor, idade, deficiência ou quaisquer outras formas de discriminação.</w:t>
      </w:r>
    </w:p>
    <w:p w14:paraId="01A9542C">
      <w:pPr>
        <w:pStyle w:val="10"/>
        <w:spacing w:before="0" w:after="0" w:line="360" w:lineRule="auto"/>
        <w:ind w:firstLine="708"/>
        <w:jc w:val="both"/>
        <w:rPr>
          <w:sz w:val="22"/>
          <w:szCs w:val="22"/>
        </w:rPr>
      </w:pPr>
      <w:r>
        <w:rPr>
          <w:sz w:val="22"/>
          <w:szCs w:val="22"/>
        </w:rPr>
        <w:t>A constatação de irregularidades, omissões ou informações falsas poderá resultar na desclassificação do projeto, na rescisão do Termo de Execução Cultural e na aplicação das sanções administrativas cabíveis, garantidos o contraditório e a ampla defesa.</w:t>
      </w:r>
    </w:p>
    <w:p w14:paraId="60AF33DC">
      <w:pPr>
        <w:pStyle w:val="15"/>
        <w:spacing w:before="0" w:after="0" w:line="360" w:lineRule="auto"/>
        <w:jc w:val="both"/>
        <w:rPr>
          <w:sz w:val="22"/>
          <w:szCs w:val="22"/>
        </w:rPr>
      </w:pPr>
    </w:p>
    <w:p w14:paraId="4C78C52F">
      <w:pPr>
        <w:pStyle w:val="15"/>
        <w:spacing w:before="0" w:after="0" w:line="360" w:lineRule="auto"/>
        <w:ind w:firstLine="708"/>
        <w:jc w:val="both"/>
        <w:rPr>
          <w:sz w:val="22"/>
          <w:szCs w:val="22"/>
        </w:rPr>
      </w:pPr>
      <w:r>
        <w:rPr>
          <w:sz w:val="22"/>
          <w:szCs w:val="22"/>
        </w:rPr>
        <w:t>13.2. Acompanhamento do edital</w:t>
      </w:r>
    </w:p>
    <w:p w14:paraId="503183D9">
      <w:pPr>
        <w:pStyle w:val="10"/>
        <w:spacing w:before="0" w:after="0" w:line="360" w:lineRule="auto"/>
        <w:ind w:firstLine="708"/>
        <w:jc w:val="both"/>
        <w:rPr>
          <w:sz w:val="22"/>
          <w:szCs w:val="22"/>
        </w:rPr>
      </w:pPr>
      <w:r>
        <w:rPr>
          <w:sz w:val="22"/>
          <w:szCs w:val="22"/>
        </w:rPr>
        <w:t>O presente edital e seus anexos estarão disponíveis no site oficial da Prefeitura Municipal de Silvianópolis/MG e nos demais canais oficiais de divulgação do Município.</w:t>
      </w:r>
    </w:p>
    <w:p w14:paraId="7B76D343">
      <w:pPr>
        <w:pStyle w:val="10"/>
        <w:spacing w:before="0" w:after="0" w:line="360" w:lineRule="auto"/>
        <w:ind w:firstLine="708"/>
        <w:jc w:val="both"/>
        <w:rPr>
          <w:sz w:val="22"/>
          <w:szCs w:val="22"/>
        </w:rPr>
      </w:pPr>
      <w:r>
        <w:rPr>
          <w:sz w:val="22"/>
          <w:szCs w:val="22"/>
        </w:rPr>
        <w:t>O acompanhamento de todas as etapas, publicações e prazos é de responsabilidade exclusiva do agente cultural, devendo este manter-se atento às divulgações realizadas nos canais oficiais.</w:t>
      </w:r>
    </w:p>
    <w:p w14:paraId="72433384">
      <w:pPr>
        <w:pStyle w:val="10"/>
        <w:spacing w:before="0" w:after="0" w:line="360" w:lineRule="auto"/>
        <w:ind w:firstLine="708"/>
        <w:jc w:val="both"/>
        <w:rPr>
          <w:sz w:val="22"/>
          <w:szCs w:val="22"/>
        </w:rPr>
      </w:pPr>
      <w:r>
        <w:rPr>
          <w:sz w:val="22"/>
          <w:szCs w:val="22"/>
        </w:rPr>
        <w:t>Na contagem dos prazos previstos neste edital, exclui-se o dia do começo e inclui-se o dia do vencimento. Quando o prazo for fixado em dias úteis, serão considerados apenas os dias em que houver expediente regular na Administração Pública Municipal. Os prazos que vencerem em dia sem expediente serão prorrogados para o primeiro dia útil subsequente.</w:t>
      </w:r>
    </w:p>
    <w:p w14:paraId="17D9F934">
      <w:pPr>
        <w:pStyle w:val="15"/>
        <w:spacing w:before="0" w:after="0" w:line="360" w:lineRule="auto"/>
        <w:jc w:val="both"/>
        <w:rPr>
          <w:sz w:val="22"/>
          <w:szCs w:val="22"/>
        </w:rPr>
      </w:pPr>
    </w:p>
    <w:p w14:paraId="34A81CC2">
      <w:pPr>
        <w:pStyle w:val="15"/>
        <w:spacing w:before="0" w:after="0" w:line="360" w:lineRule="auto"/>
        <w:ind w:firstLine="708"/>
        <w:jc w:val="both"/>
        <w:rPr>
          <w:sz w:val="22"/>
          <w:szCs w:val="22"/>
        </w:rPr>
      </w:pPr>
      <w:r>
        <w:rPr>
          <w:sz w:val="22"/>
          <w:szCs w:val="22"/>
        </w:rPr>
        <w:t>13.3. Informações e atendimento</w:t>
      </w:r>
    </w:p>
    <w:p w14:paraId="30641372">
      <w:pPr>
        <w:pStyle w:val="10"/>
        <w:spacing w:before="0" w:after="0" w:line="360" w:lineRule="auto"/>
        <w:ind w:firstLine="708"/>
        <w:jc w:val="both"/>
        <w:rPr>
          <w:sz w:val="22"/>
          <w:szCs w:val="22"/>
        </w:rPr>
      </w:pPr>
      <w:r>
        <w:rPr>
          <w:sz w:val="22"/>
          <w:szCs w:val="22"/>
        </w:rPr>
        <w:t>Informações adicionais poderão ser obtidas nos canais oficiais de atendimento da Prefeitura Municipal de Silvianópolis/MG e diretamente</w:t>
      </w:r>
      <w:r>
        <w:rPr>
          <w:rFonts w:hint="default"/>
          <w:sz w:val="22"/>
          <w:szCs w:val="22"/>
          <w:lang w:val="pt-BR"/>
        </w:rPr>
        <w:t>, em horário comercial</w:t>
      </w:r>
      <w:r>
        <w:rPr>
          <w:sz w:val="22"/>
          <w:szCs w:val="22"/>
        </w:rPr>
        <w:t xml:space="preserve"> na Secretaria Municipal de Cultura</w:t>
      </w:r>
      <w:r>
        <w:rPr>
          <w:rFonts w:hint="default"/>
          <w:sz w:val="22"/>
          <w:szCs w:val="22"/>
          <w:lang w:val="pt-BR"/>
        </w:rPr>
        <w:t xml:space="preserve"> (Praça Homero Bento Vieira, 53, Centro, Silvianópolis/MG.</w:t>
      </w:r>
      <w:r>
        <w:rPr>
          <w:sz w:val="22"/>
          <w:szCs w:val="22"/>
        </w:rPr>
        <w:t>.</w:t>
      </w:r>
    </w:p>
    <w:p w14:paraId="73ED8E93">
      <w:pPr>
        <w:pStyle w:val="10"/>
        <w:spacing w:before="0" w:after="0" w:line="360" w:lineRule="auto"/>
        <w:ind w:firstLine="708"/>
        <w:jc w:val="both"/>
        <w:rPr>
          <w:sz w:val="22"/>
          <w:szCs w:val="22"/>
        </w:rPr>
      </w:pPr>
      <w:r>
        <w:rPr>
          <w:sz w:val="22"/>
          <w:szCs w:val="22"/>
        </w:rPr>
        <w:t>Os casos omissos serão analisados e deliberados pela Secretaria Municipal de Cultura, observada a legislação vigente.</w:t>
      </w:r>
    </w:p>
    <w:p w14:paraId="7B83A000">
      <w:pPr>
        <w:pStyle w:val="9"/>
        <w:spacing w:line="360" w:lineRule="auto"/>
        <w:jc w:val="both"/>
        <w:rPr>
          <w:sz w:val="22"/>
          <w:szCs w:val="22"/>
        </w:rPr>
      </w:pPr>
    </w:p>
    <w:p w14:paraId="039E10EC">
      <w:pPr>
        <w:pStyle w:val="15"/>
        <w:spacing w:before="0" w:after="0" w:line="360" w:lineRule="auto"/>
        <w:ind w:firstLine="708"/>
        <w:jc w:val="both"/>
        <w:rPr>
          <w:sz w:val="22"/>
          <w:szCs w:val="22"/>
        </w:rPr>
      </w:pPr>
      <w:r>
        <w:rPr>
          <w:sz w:val="22"/>
          <w:szCs w:val="22"/>
        </w:rPr>
        <w:t>13.4. Validade do edital</w:t>
      </w:r>
    </w:p>
    <w:p w14:paraId="61FBD705">
      <w:pPr>
        <w:pStyle w:val="10"/>
        <w:spacing w:before="0" w:after="0" w:line="360" w:lineRule="auto"/>
        <w:ind w:firstLine="708"/>
        <w:jc w:val="both"/>
        <w:rPr>
          <w:sz w:val="22"/>
          <w:szCs w:val="22"/>
        </w:rPr>
      </w:pPr>
      <w:r>
        <w:rPr>
          <w:sz w:val="22"/>
          <w:szCs w:val="22"/>
        </w:rPr>
        <w:t>O resultado deste edital terá validade de 12 (doze) meses, contados a partir da publicação do resultado final, podendo ser prorrogado por igual período, a critério da Administração Pública.</w:t>
      </w:r>
    </w:p>
    <w:p w14:paraId="1574B7E1">
      <w:pPr>
        <w:pStyle w:val="9"/>
        <w:spacing w:line="360" w:lineRule="auto"/>
        <w:jc w:val="both"/>
        <w:rPr>
          <w:sz w:val="22"/>
          <w:szCs w:val="22"/>
        </w:rPr>
      </w:pPr>
    </w:p>
    <w:p w14:paraId="39BEFD25">
      <w:pPr>
        <w:pStyle w:val="15"/>
        <w:spacing w:before="0" w:after="0" w:line="360" w:lineRule="auto"/>
        <w:ind w:firstLine="708"/>
        <w:jc w:val="both"/>
        <w:rPr>
          <w:sz w:val="22"/>
          <w:szCs w:val="22"/>
        </w:rPr>
      </w:pPr>
      <w:r>
        <w:rPr>
          <w:sz w:val="22"/>
          <w:szCs w:val="22"/>
        </w:rPr>
        <w:t>13.5. Cronograma do edital</w:t>
      </w:r>
    </w:p>
    <w:p w14:paraId="6F023613">
      <w:pPr>
        <w:pStyle w:val="10"/>
        <w:spacing w:before="0" w:after="0" w:line="360" w:lineRule="auto"/>
        <w:ind w:firstLine="708"/>
        <w:jc w:val="both"/>
        <w:rPr>
          <w:sz w:val="22"/>
          <w:szCs w:val="22"/>
        </w:rPr>
      </w:pPr>
      <w:r>
        <w:rPr>
          <w:sz w:val="22"/>
          <w:szCs w:val="22"/>
        </w:rPr>
        <w:t>O presente edital observará o seguinte cronograma:</w:t>
      </w:r>
    </w:p>
    <w:p w14:paraId="42E17B9A">
      <w:pPr>
        <w:pStyle w:val="9"/>
        <w:jc w:val="both"/>
        <w:rPr>
          <w:sz w:val="22"/>
          <w:szCs w:val="22"/>
        </w:rPr>
      </w:pP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789"/>
        <w:gridCol w:w="2806"/>
      </w:tblGrid>
      <w:tr w14:paraId="6D0BD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5" w:hRule="atLeast"/>
          <w:tblHeader/>
        </w:trPr>
        <w:tc>
          <w:tcPr>
            <w:tcW w:w="0" w:type="auto"/>
            <w:tcMar>
              <w:top w:w="100" w:type="dxa"/>
              <w:left w:w="120" w:type="dxa"/>
              <w:bottom w:w="100" w:type="dxa"/>
              <w:right w:w="120" w:type="dxa"/>
            </w:tcMar>
            <w:vAlign w:val="center"/>
          </w:tcPr>
          <w:p w14:paraId="5F4F90CB">
            <w:pPr>
              <w:pStyle w:val="11"/>
              <w:spacing w:before="0" w:after="0"/>
              <w:jc w:val="both"/>
            </w:pPr>
            <w:r>
              <w:t>Etapa</w:t>
            </w:r>
          </w:p>
        </w:tc>
        <w:tc>
          <w:tcPr>
            <w:tcW w:w="0" w:type="auto"/>
            <w:tcMar>
              <w:top w:w="100" w:type="dxa"/>
              <w:left w:w="120" w:type="dxa"/>
              <w:bottom w:w="100" w:type="dxa"/>
              <w:right w:w="120" w:type="dxa"/>
            </w:tcMar>
            <w:vAlign w:val="center"/>
          </w:tcPr>
          <w:p w14:paraId="0A72B163">
            <w:pPr>
              <w:pStyle w:val="11"/>
              <w:spacing w:before="0" w:after="0"/>
              <w:jc w:val="both"/>
            </w:pPr>
            <w:r>
              <w:t>Período</w:t>
            </w:r>
          </w:p>
        </w:tc>
      </w:tr>
      <w:tr w14:paraId="6AE7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7B313314">
            <w:pPr>
              <w:pStyle w:val="12"/>
              <w:spacing w:before="0" w:after="0"/>
              <w:jc w:val="both"/>
              <w:rPr>
                <w:sz w:val="22"/>
                <w:szCs w:val="22"/>
              </w:rPr>
            </w:pPr>
            <w:r>
              <w:rPr>
                <w:sz w:val="22"/>
                <w:szCs w:val="22"/>
              </w:rPr>
              <w:t>Publicação do edital</w:t>
            </w:r>
          </w:p>
        </w:tc>
        <w:tc>
          <w:tcPr>
            <w:tcW w:w="0" w:type="auto"/>
            <w:tcMar>
              <w:top w:w="80" w:type="dxa"/>
              <w:left w:w="120" w:type="dxa"/>
              <w:bottom w:w="80" w:type="dxa"/>
              <w:right w:w="120" w:type="dxa"/>
            </w:tcMar>
            <w:vAlign w:val="center"/>
          </w:tcPr>
          <w:p w14:paraId="298192C2">
            <w:pPr>
              <w:pStyle w:val="12"/>
              <w:spacing w:before="0" w:after="0"/>
              <w:jc w:val="both"/>
              <w:rPr>
                <w:sz w:val="22"/>
                <w:szCs w:val="22"/>
              </w:rPr>
            </w:pPr>
            <w:r>
              <w:rPr>
                <w:sz w:val="22"/>
                <w:szCs w:val="22"/>
              </w:rPr>
              <w:t>25/05/2026</w:t>
            </w:r>
          </w:p>
        </w:tc>
      </w:tr>
      <w:tr w14:paraId="2D896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5D746F08">
            <w:pPr>
              <w:pStyle w:val="12"/>
              <w:spacing w:before="0" w:after="0"/>
              <w:jc w:val="both"/>
              <w:rPr>
                <w:sz w:val="22"/>
                <w:szCs w:val="22"/>
              </w:rPr>
            </w:pPr>
            <w:r>
              <w:rPr>
                <w:sz w:val="22"/>
                <w:szCs w:val="22"/>
              </w:rPr>
              <w:t>Período de inscrições</w:t>
            </w:r>
          </w:p>
        </w:tc>
        <w:tc>
          <w:tcPr>
            <w:tcW w:w="0" w:type="auto"/>
            <w:tcMar>
              <w:top w:w="80" w:type="dxa"/>
              <w:left w:w="120" w:type="dxa"/>
              <w:bottom w:w="80" w:type="dxa"/>
              <w:right w:w="120" w:type="dxa"/>
            </w:tcMar>
            <w:vAlign w:val="center"/>
          </w:tcPr>
          <w:p w14:paraId="56D4673D">
            <w:pPr>
              <w:pStyle w:val="12"/>
              <w:spacing w:before="0" w:after="0"/>
              <w:jc w:val="both"/>
              <w:rPr>
                <w:sz w:val="22"/>
                <w:szCs w:val="22"/>
              </w:rPr>
            </w:pPr>
            <w:r>
              <w:rPr>
                <w:sz w:val="22"/>
                <w:szCs w:val="22"/>
              </w:rPr>
              <w:t>25/05/2026 a 12/06/2026</w:t>
            </w:r>
          </w:p>
        </w:tc>
      </w:tr>
      <w:tr w14:paraId="4C707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0B4619E9">
            <w:pPr>
              <w:pStyle w:val="12"/>
              <w:spacing w:before="0" w:after="0"/>
              <w:jc w:val="both"/>
              <w:rPr>
                <w:sz w:val="22"/>
                <w:szCs w:val="22"/>
              </w:rPr>
            </w:pPr>
            <w:r>
              <w:rPr>
                <w:sz w:val="22"/>
                <w:szCs w:val="22"/>
              </w:rPr>
              <w:t>Análise dos projetos pela Comissão de Seleção</w:t>
            </w:r>
          </w:p>
        </w:tc>
        <w:tc>
          <w:tcPr>
            <w:tcW w:w="0" w:type="auto"/>
            <w:tcMar>
              <w:top w:w="80" w:type="dxa"/>
              <w:left w:w="120" w:type="dxa"/>
              <w:bottom w:w="80" w:type="dxa"/>
              <w:right w:w="120" w:type="dxa"/>
            </w:tcMar>
            <w:vAlign w:val="center"/>
          </w:tcPr>
          <w:p w14:paraId="1B5CA69C">
            <w:pPr>
              <w:pStyle w:val="12"/>
              <w:spacing w:before="0" w:after="0"/>
              <w:jc w:val="both"/>
              <w:rPr>
                <w:sz w:val="22"/>
                <w:szCs w:val="22"/>
              </w:rPr>
            </w:pPr>
            <w:r>
              <w:rPr>
                <w:sz w:val="22"/>
                <w:szCs w:val="22"/>
              </w:rPr>
              <w:t>16/06/2026 a 22/06/2026</w:t>
            </w:r>
          </w:p>
        </w:tc>
      </w:tr>
      <w:tr w14:paraId="4B878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110CFF7A">
            <w:pPr>
              <w:pStyle w:val="12"/>
              <w:spacing w:before="0" w:after="0"/>
              <w:jc w:val="both"/>
              <w:rPr>
                <w:sz w:val="22"/>
                <w:szCs w:val="22"/>
              </w:rPr>
            </w:pPr>
            <w:r>
              <w:rPr>
                <w:sz w:val="22"/>
                <w:szCs w:val="22"/>
              </w:rPr>
              <w:t>Publicação do resultado preliminar da seleção</w:t>
            </w:r>
          </w:p>
        </w:tc>
        <w:tc>
          <w:tcPr>
            <w:tcW w:w="0" w:type="auto"/>
            <w:tcMar>
              <w:top w:w="80" w:type="dxa"/>
              <w:left w:w="120" w:type="dxa"/>
              <w:bottom w:w="80" w:type="dxa"/>
              <w:right w:w="120" w:type="dxa"/>
            </w:tcMar>
            <w:vAlign w:val="center"/>
          </w:tcPr>
          <w:p w14:paraId="3AB1A158">
            <w:pPr>
              <w:pStyle w:val="12"/>
              <w:spacing w:before="0" w:after="0"/>
              <w:jc w:val="both"/>
              <w:rPr>
                <w:sz w:val="22"/>
                <w:szCs w:val="22"/>
              </w:rPr>
            </w:pPr>
            <w:r>
              <w:rPr>
                <w:sz w:val="22"/>
                <w:szCs w:val="22"/>
              </w:rPr>
              <w:t>23/06/2026</w:t>
            </w:r>
          </w:p>
        </w:tc>
      </w:tr>
      <w:tr w14:paraId="4317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2914E754">
            <w:pPr>
              <w:pStyle w:val="12"/>
              <w:spacing w:before="0" w:after="0"/>
              <w:jc w:val="both"/>
              <w:rPr>
                <w:sz w:val="22"/>
                <w:szCs w:val="22"/>
              </w:rPr>
            </w:pPr>
            <w:r>
              <w:rPr>
                <w:sz w:val="22"/>
                <w:szCs w:val="22"/>
              </w:rPr>
              <w:t>Interposição de recurso contra o resultado da seleção</w:t>
            </w:r>
          </w:p>
        </w:tc>
        <w:tc>
          <w:tcPr>
            <w:tcW w:w="0" w:type="auto"/>
            <w:tcMar>
              <w:top w:w="80" w:type="dxa"/>
              <w:left w:w="120" w:type="dxa"/>
              <w:bottom w:w="80" w:type="dxa"/>
              <w:right w:w="120" w:type="dxa"/>
            </w:tcMar>
            <w:vAlign w:val="center"/>
          </w:tcPr>
          <w:p w14:paraId="21FB5C7B">
            <w:pPr>
              <w:pStyle w:val="12"/>
              <w:spacing w:before="0" w:after="0"/>
              <w:jc w:val="both"/>
              <w:rPr>
                <w:sz w:val="22"/>
                <w:szCs w:val="22"/>
              </w:rPr>
            </w:pPr>
            <w:r>
              <w:rPr>
                <w:sz w:val="22"/>
                <w:szCs w:val="22"/>
              </w:rPr>
              <w:t>24/06/2026 a 26/06/2026</w:t>
            </w:r>
          </w:p>
        </w:tc>
      </w:tr>
      <w:tr w14:paraId="0498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7CA6AAAE">
            <w:pPr>
              <w:pStyle w:val="12"/>
              <w:spacing w:before="0" w:after="0"/>
              <w:jc w:val="both"/>
              <w:rPr>
                <w:sz w:val="22"/>
                <w:szCs w:val="22"/>
              </w:rPr>
            </w:pPr>
            <w:r>
              <w:rPr>
                <w:sz w:val="22"/>
                <w:szCs w:val="22"/>
              </w:rPr>
              <w:t>Análise dos recursos da seleção</w:t>
            </w:r>
          </w:p>
        </w:tc>
        <w:tc>
          <w:tcPr>
            <w:tcW w:w="0" w:type="auto"/>
            <w:tcMar>
              <w:top w:w="80" w:type="dxa"/>
              <w:left w:w="120" w:type="dxa"/>
              <w:bottom w:w="80" w:type="dxa"/>
              <w:right w:w="120" w:type="dxa"/>
            </w:tcMar>
            <w:vAlign w:val="center"/>
          </w:tcPr>
          <w:p w14:paraId="20EECF6C">
            <w:pPr>
              <w:pStyle w:val="12"/>
              <w:spacing w:before="0" w:after="0"/>
              <w:jc w:val="both"/>
              <w:rPr>
                <w:sz w:val="22"/>
                <w:szCs w:val="22"/>
              </w:rPr>
            </w:pPr>
            <w:r>
              <w:rPr>
                <w:sz w:val="22"/>
                <w:szCs w:val="22"/>
              </w:rPr>
              <w:t>29/06/2026 a 30/06/2026</w:t>
            </w:r>
          </w:p>
        </w:tc>
      </w:tr>
      <w:tr w14:paraId="5E773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5B0127B7">
            <w:pPr>
              <w:pStyle w:val="12"/>
              <w:spacing w:before="0" w:after="0"/>
              <w:jc w:val="both"/>
              <w:rPr>
                <w:sz w:val="22"/>
                <w:szCs w:val="22"/>
              </w:rPr>
            </w:pPr>
            <w:r>
              <w:rPr>
                <w:sz w:val="22"/>
                <w:szCs w:val="22"/>
              </w:rPr>
              <w:t>Resultado dos recursos da seleção e convocação para habilitação</w:t>
            </w:r>
          </w:p>
        </w:tc>
        <w:tc>
          <w:tcPr>
            <w:tcW w:w="0" w:type="auto"/>
            <w:tcMar>
              <w:top w:w="80" w:type="dxa"/>
              <w:left w:w="120" w:type="dxa"/>
              <w:bottom w:w="80" w:type="dxa"/>
              <w:right w:w="120" w:type="dxa"/>
            </w:tcMar>
            <w:vAlign w:val="center"/>
          </w:tcPr>
          <w:p w14:paraId="565D9057">
            <w:pPr>
              <w:pStyle w:val="12"/>
              <w:spacing w:before="0" w:after="0"/>
              <w:jc w:val="both"/>
              <w:rPr>
                <w:sz w:val="22"/>
                <w:szCs w:val="22"/>
              </w:rPr>
            </w:pPr>
            <w:r>
              <w:rPr>
                <w:sz w:val="22"/>
                <w:szCs w:val="22"/>
              </w:rPr>
              <w:t>30/06/2026</w:t>
            </w:r>
          </w:p>
        </w:tc>
      </w:tr>
      <w:tr w14:paraId="7692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576" w:hRule="atLeast"/>
        </w:trPr>
        <w:tc>
          <w:tcPr>
            <w:tcW w:w="0" w:type="auto"/>
            <w:tcMar>
              <w:top w:w="80" w:type="dxa"/>
              <w:left w:w="120" w:type="dxa"/>
              <w:bottom w:w="80" w:type="dxa"/>
              <w:right w:w="120" w:type="dxa"/>
            </w:tcMar>
            <w:vAlign w:val="center"/>
          </w:tcPr>
          <w:p w14:paraId="1DE94EFE">
            <w:pPr>
              <w:pStyle w:val="12"/>
              <w:spacing w:before="0" w:after="0"/>
              <w:jc w:val="both"/>
              <w:rPr>
                <w:sz w:val="22"/>
                <w:szCs w:val="22"/>
              </w:rPr>
            </w:pPr>
            <w:r>
              <w:rPr>
                <w:sz w:val="22"/>
                <w:szCs w:val="22"/>
              </w:rPr>
              <w:t>Apresentação dos documentos de habilitação</w:t>
            </w:r>
          </w:p>
        </w:tc>
        <w:tc>
          <w:tcPr>
            <w:tcW w:w="0" w:type="auto"/>
            <w:tcMar>
              <w:top w:w="80" w:type="dxa"/>
              <w:left w:w="120" w:type="dxa"/>
              <w:bottom w:w="80" w:type="dxa"/>
              <w:right w:w="120" w:type="dxa"/>
            </w:tcMar>
            <w:vAlign w:val="center"/>
          </w:tcPr>
          <w:p w14:paraId="1A883626">
            <w:pPr>
              <w:pStyle w:val="12"/>
              <w:spacing w:before="0" w:after="0"/>
              <w:jc w:val="both"/>
              <w:rPr>
                <w:sz w:val="22"/>
                <w:szCs w:val="22"/>
              </w:rPr>
            </w:pPr>
            <w:r>
              <w:rPr>
                <w:sz w:val="22"/>
                <w:szCs w:val="22"/>
              </w:rPr>
              <w:t>01/07/2026 a 07/07/2026</w:t>
            </w:r>
          </w:p>
        </w:tc>
      </w:tr>
      <w:tr w14:paraId="73EC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5E32492F">
            <w:pPr>
              <w:pStyle w:val="12"/>
              <w:spacing w:before="0" w:after="0"/>
              <w:jc w:val="both"/>
              <w:rPr>
                <w:sz w:val="22"/>
                <w:szCs w:val="22"/>
              </w:rPr>
            </w:pPr>
            <w:r>
              <w:rPr>
                <w:sz w:val="22"/>
                <w:szCs w:val="22"/>
              </w:rPr>
              <w:t>Publicação do resultado preliminar da habilitação</w:t>
            </w:r>
          </w:p>
        </w:tc>
        <w:tc>
          <w:tcPr>
            <w:tcW w:w="0" w:type="auto"/>
            <w:tcMar>
              <w:top w:w="80" w:type="dxa"/>
              <w:left w:w="120" w:type="dxa"/>
              <w:bottom w:w="80" w:type="dxa"/>
              <w:right w:w="120" w:type="dxa"/>
            </w:tcMar>
            <w:vAlign w:val="center"/>
          </w:tcPr>
          <w:p w14:paraId="4A2E7933">
            <w:pPr>
              <w:pStyle w:val="12"/>
              <w:spacing w:before="0" w:after="0"/>
              <w:jc w:val="both"/>
              <w:rPr>
                <w:sz w:val="22"/>
                <w:szCs w:val="22"/>
              </w:rPr>
            </w:pPr>
            <w:r>
              <w:rPr>
                <w:sz w:val="22"/>
                <w:szCs w:val="22"/>
              </w:rPr>
              <w:t>08/07/2026</w:t>
            </w:r>
          </w:p>
        </w:tc>
      </w:tr>
      <w:tr w14:paraId="47446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5029D94C">
            <w:pPr>
              <w:pStyle w:val="12"/>
              <w:spacing w:before="0" w:after="0"/>
              <w:jc w:val="both"/>
              <w:rPr>
                <w:sz w:val="22"/>
                <w:szCs w:val="22"/>
              </w:rPr>
            </w:pPr>
            <w:r>
              <w:rPr>
                <w:sz w:val="22"/>
                <w:szCs w:val="22"/>
              </w:rPr>
              <w:t>Interposição de recurso contra o resultado da habilitação</w:t>
            </w:r>
          </w:p>
        </w:tc>
        <w:tc>
          <w:tcPr>
            <w:tcW w:w="0" w:type="auto"/>
            <w:tcMar>
              <w:top w:w="80" w:type="dxa"/>
              <w:left w:w="120" w:type="dxa"/>
              <w:bottom w:w="80" w:type="dxa"/>
              <w:right w:w="120" w:type="dxa"/>
            </w:tcMar>
            <w:vAlign w:val="center"/>
          </w:tcPr>
          <w:p w14:paraId="7082069B">
            <w:pPr>
              <w:pStyle w:val="12"/>
              <w:spacing w:before="0" w:after="0"/>
              <w:jc w:val="both"/>
              <w:rPr>
                <w:sz w:val="22"/>
                <w:szCs w:val="22"/>
              </w:rPr>
            </w:pPr>
            <w:r>
              <w:rPr>
                <w:sz w:val="22"/>
                <w:szCs w:val="22"/>
              </w:rPr>
              <w:t>09/07/2026 a 13/07/2026</w:t>
            </w:r>
          </w:p>
        </w:tc>
      </w:tr>
      <w:tr w14:paraId="088C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26EB9572">
            <w:pPr>
              <w:pStyle w:val="12"/>
              <w:spacing w:before="0" w:after="0"/>
              <w:jc w:val="both"/>
              <w:rPr>
                <w:sz w:val="22"/>
                <w:szCs w:val="22"/>
              </w:rPr>
            </w:pPr>
            <w:r>
              <w:rPr>
                <w:sz w:val="22"/>
                <w:szCs w:val="22"/>
              </w:rPr>
              <w:t>Publicação do resultado final e homologação</w:t>
            </w:r>
          </w:p>
        </w:tc>
        <w:tc>
          <w:tcPr>
            <w:tcW w:w="0" w:type="auto"/>
            <w:tcMar>
              <w:top w:w="80" w:type="dxa"/>
              <w:left w:w="120" w:type="dxa"/>
              <w:bottom w:w="80" w:type="dxa"/>
              <w:right w:w="120" w:type="dxa"/>
            </w:tcMar>
            <w:vAlign w:val="center"/>
          </w:tcPr>
          <w:p w14:paraId="36D0EFCF">
            <w:pPr>
              <w:pStyle w:val="12"/>
              <w:spacing w:before="0" w:after="0"/>
              <w:jc w:val="both"/>
              <w:rPr>
                <w:sz w:val="22"/>
                <w:szCs w:val="22"/>
              </w:rPr>
            </w:pPr>
            <w:r>
              <w:rPr>
                <w:sz w:val="22"/>
                <w:szCs w:val="22"/>
              </w:rPr>
              <w:t>15/07/2026</w:t>
            </w:r>
          </w:p>
        </w:tc>
      </w:tr>
      <w:tr w14:paraId="09207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19603241">
            <w:pPr>
              <w:pStyle w:val="12"/>
              <w:spacing w:before="0" w:after="0"/>
              <w:jc w:val="both"/>
              <w:rPr>
                <w:sz w:val="22"/>
                <w:szCs w:val="22"/>
              </w:rPr>
            </w:pPr>
            <w:r>
              <w:rPr>
                <w:sz w:val="22"/>
                <w:szCs w:val="22"/>
              </w:rPr>
              <w:t>Assinatura do Termo de Execução Cultural</w:t>
            </w:r>
          </w:p>
        </w:tc>
        <w:tc>
          <w:tcPr>
            <w:tcW w:w="0" w:type="auto"/>
            <w:tcMar>
              <w:top w:w="80" w:type="dxa"/>
              <w:left w:w="120" w:type="dxa"/>
              <w:bottom w:w="80" w:type="dxa"/>
              <w:right w:w="120" w:type="dxa"/>
            </w:tcMar>
            <w:vAlign w:val="center"/>
          </w:tcPr>
          <w:p w14:paraId="1A74AD13">
            <w:pPr>
              <w:pStyle w:val="12"/>
              <w:spacing w:before="0" w:after="0"/>
              <w:jc w:val="both"/>
              <w:rPr>
                <w:sz w:val="22"/>
                <w:szCs w:val="22"/>
              </w:rPr>
            </w:pPr>
            <w:r>
              <w:rPr>
                <w:sz w:val="22"/>
                <w:szCs w:val="22"/>
              </w:rPr>
              <w:t>16/07/2026 a 22/07/2026</w:t>
            </w:r>
          </w:p>
        </w:tc>
      </w:tr>
      <w:tr w14:paraId="71171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3D0E92B1">
            <w:pPr>
              <w:pStyle w:val="12"/>
              <w:spacing w:before="0" w:after="0"/>
              <w:jc w:val="both"/>
              <w:rPr>
                <w:sz w:val="22"/>
                <w:szCs w:val="22"/>
              </w:rPr>
            </w:pPr>
            <w:r>
              <w:rPr>
                <w:sz w:val="22"/>
                <w:szCs w:val="22"/>
              </w:rPr>
              <w:t>Repasse dos recursos financeiros</w:t>
            </w:r>
          </w:p>
        </w:tc>
        <w:tc>
          <w:tcPr>
            <w:tcW w:w="0" w:type="auto"/>
            <w:tcMar>
              <w:top w:w="80" w:type="dxa"/>
              <w:left w:w="120" w:type="dxa"/>
              <w:bottom w:w="80" w:type="dxa"/>
              <w:right w:w="120" w:type="dxa"/>
            </w:tcMar>
            <w:vAlign w:val="center"/>
          </w:tcPr>
          <w:p w14:paraId="731E6BB6">
            <w:pPr>
              <w:pStyle w:val="12"/>
              <w:spacing w:before="0" w:after="0"/>
              <w:jc w:val="both"/>
              <w:rPr>
                <w:sz w:val="22"/>
                <w:szCs w:val="22"/>
              </w:rPr>
            </w:pPr>
            <w:r>
              <w:rPr>
                <w:sz w:val="22"/>
                <w:szCs w:val="22"/>
              </w:rPr>
              <w:t>23/07/2026 a 31/07/2026</w:t>
            </w:r>
          </w:p>
        </w:tc>
      </w:tr>
      <w:tr w14:paraId="08D8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1DB526EC">
            <w:pPr>
              <w:pStyle w:val="12"/>
              <w:spacing w:before="0" w:after="0"/>
              <w:jc w:val="both"/>
              <w:rPr>
                <w:sz w:val="22"/>
                <w:szCs w:val="22"/>
              </w:rPr>
            </w:pPr>
            <w:r>
              <w:rPr>
                <w:sz w:val="22"/>
                <w:szCs w:val="22"/>
              </w:rPr>
              <w:t>Execução dos projetos</w:t>
            </w:r>
          </w:p>
        </w:tc>
        <w:tc>
          <w:tcPr>
            <w:tcW w:w="0" w:type="auto"/>
            <w:tcMar>
              <w:top w:w="80" w:type="dxa"/>
              <w:left w:w="120" w:type="dxa"/>
              <w:bottom w:w="80" w:type="dxa"/>
              <w:right w:w="120" w:type="dxa"/>
            </w:tcMar>
            <w:vAlign w:val="center"/>
          </w:tcPr>
          <w:p w14:paraId="49A2E282">
            <w:pPr>
              <w:pStyle w:val="12"/>
              <w:spacing w:before="0" w:after="0"/>
              <w:jc w:val="both"/>
              <w:rPr>
                <w:sz w:val="22"/>
                <w:szCs w:val="22"/>
              </w:rPr>
            </w:pPr>
            <w:r>
              <w:rPr>
                <w:sz w:val="22"/>
                <w:szCs w:val="22"/>
              </w:rPr>
              <w:t>01/08/2026 a 31/0</w:t>
            </w:r>
            <w:r>
              <w:rPr>
                <w:rFonts w:hint="default"/>
                <w:sz w:val="22"/>
                <w:szCs w:val="22"/>
                <w:lang w:val="pt-BR"/>
              </w:rPr>
              <w:t>7</w:t>
            </w:r>
            <w:r>
              <w:rPr>
                <w:sz w:val="22"/>
                <w:szCs w:val="22"/>
              </w:rPr>
              <w:t>/2027</w:t>
            </w:r>
          </w:p>
        </w:tc>
      </w:tr>
      <w:tr w14:paraId="7B80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0" w:hRule="atLeast"/>
        </w:trPr>
        <w:tc>
          <w:tcPr>
            <w:tcW w:w="0" w:type="auto"/>
            <w:tcMar>
              <w:top w:w="80" w:type="dxa"/>
              <w:left w:w="120" w:type="dxa"/>
              <w:bottom w:w="80" w:type="dxa"/>
              <w:right w:w="120" w:type="dxa"/>
            </w:tcMar>
            <w:vAlign w:val="center"/>
          </w:tcPr>
          <w:p w14:paraId="70E4DF75">
            <w:pPr>
              <w:pStyle w:val="12"/>
              <w:spacing w:before="0" w:after="0"/>
              <w:jc w:val="both"/>
              <w:rPr>
                <w:sz w:val="22"/>
                <w:szCs w:val="22"/>
              </w:rPr>
            </w:pPr>
            <w:r>
              <w:rPr>
                <w:sz w:val="22"/>
                <w:szCs w:val="22"/>
              </w:rPr>
              <w:t>Entrega do Relatório de Execução do Objeto</w:t>
            </w:r>
          </w:p>
        </w:tc>
        <w:tc>
          <w:tcPr>
            <w:tcW w:w="0" w:type="auto"/>
            <w:tcMar>
              <w:top w:w="80" w:type="dxa"/>
              <w:left w:w="120" w:type="dxa"/>
              <w:bottom w:w="80" w:type="dxa"/>
              <w:right w:w="120" w:type="dxa"/>
            </w:tcMar>
            <w:vAlign w:val="center"/>
          </w:tcPr>
          <w:p w14:paraId="175D9094">
            <w:pPr>
              <w:pStyle w:val="12"/>
              <w:spacing w:before="0" w:after="0"/>
              <w:jc w:val="both"/>
              <w:rPr>
                <w:sz w:val="22"/>
                <w:szCs w:val="22"/>
              </w:rPr>
            </w:pPr>
            <w:r>
              <w:rPr>
                <w:sz w:val="22"/>
                <w:szCs w:val="22"/>
              </w:rPr>
              <w:t>Até 31/08/2027</w:t>
            </w:r>
          </w:p>
        </w:tc>
      </w:tr>
    </w:tbl>
    <w:p w14:paraId="3CCD34A4">
      <w:pPr>
        <w:pStyle w:val="15"/>
        <w:spacing w:before="0" w:after="0" w:line="360" w:lineRule="auto"/>
        <w:jc w:val="both"/>
        <w:rPr>
          <w:sz w:val="22"/>
          <w:szCs w:val="22"/>
        </w:rPr>
      </w:pPr>
    </w:p>
    <w:p w14:paraId="0357C1E2">
      <w:pPr>
        <w:pStyle w:val="15"/>
        <w:spacing w:before="0" w:after="0" w:line="360" w:lineRule="auto"/>
        <w:ind w:firstLine="708"/>
        <w:jc w:val="both"/>
        <w:rPr>
          <w:sz w:val="22"/>
          <w:szCs w:val="22"/>
        </w:rPr>
      </w:pPr>
      <w:r>
        <w:rPr>
          <w:sz w:val="22"/>
          <w:szCs w:val="22"/>
        </w:rPr>
        <w:t>13.6. Anexos</w:t>
      </w:r>
    </w:p>
    <w:p w14:paraId="58B5BB77">
      <w:pPr>
        <w:pStyle w:val="10"/>
        <w:spacing w:before="0" w:after="0" w:line="360" w:lineRule="auto"/>
        <w:ind w:firstLine="708"/>
        <w:jc w:val="both"/>
        <w:rPr>
          <w:sz w:val="22"/>
          <w:szCs w:val="22"/>
        </w:rPr>
      </w:pPr>
      <w:r>
        <w:rPr>
          <w:sz w:val="22"/>
          <w:szCs w:val="22"/>
        </w:rPr>
        <w:t>Integram este edital, para todos os fins, os seguintes anexos:</w:t>
      </w:r>
    </w:p>
    <w:p w14:paraId="4EE59F31">
      <w:pPr>
        <w:pStyle w:val="9"/>
        <w:spacing w:line="360" w:lineRule="auto"/>
        <w:jc w:val="both"/>
        <w:rPr>
          <w:sz w:val="22"/>
          <w:szCs w:val="22"/>
        </w:rPr>
      </w:pPr>
    </w:p>
    <w:p w14:paraId="5A190845">
      <w:pPr>
        <w:pStyle w:val="10"/>
        <w:spacing w:before="0" w:after="0" w:line="360" w:lineRule="auto"/>
        <w:jc w:val="both"/>
        <w:rPr>
          <w:sz w:val="22"/>
          <w:szCs w:val="22"/>
        </w:rPr>
      </w:pPr>
      <w:r>
        <w:rPr>
          <w:sz w:val="22"/>
          <w:szCs w:val="22"/>
        </w:rPr>
        <w:t>Anexo I – Categorias de apoio;</w:t>
      </w:r>
    </w:p>
    <w:p w14:paraId="167614FF">
      <w:pPr>
        <w:pStyle w:val="10"/>
        <w:spacing w:before="0" w:after="0" w:line="360" w:lineRule="auto"/>
        <w:jc w:val="both"/>
        <w:rPr>
          <w:sz w:val="22"/>
          <w:szCs w:val="22"/>
        </w:rPr>
      </w:pPr>
      <w:r>
        <w:rPr>
          <w:sz w:val="22"/>
          <w:szCs w:val="22"/>
        </w:rPr>
        <w:t>Anexo II – Formulário de inscrição e Plano de Trabalho;</w:t>
      </w:r>
    </w:p>
    <w:p w14:paraId="483E6F44">
      <w:pPr>
        <w:pStyle w:val="10"/>
        <w:spacing w:before="0" w:after="0" w:line="360" w:lineRule="auto"/>
        <w:jc w:val="both"/>
        <w:rPr>
          <w:sz w:val="22"/>
          <w:szCs w:val="22"/>
        </w:rPr>
      </w:pPr>
      <w:r>
        <w:rPr>
          <w:sz w:val="22"/>
          <w:szCs w:val="22"/>
        </w:rPr>
        <w:t>Anexo III – Critérios de seleção;</w:t>
      </w:r>
    </w:p>
    <w:p w14:paraId="7F78D4BA">
      <w:pPr>
        <w:pStyle w:val="10"/>
        <w:spacing w:before="0" w:after="0" w:line="360" w:lineRule="auto"/>
        <w:jc w:val="both"/>
        <w:rPr>
          <w:sz w:val="22"/>
          <w:szCs w:val="22"/>
        </w:rPr>
      </w:pPr>
      <w:r>
        <w:rPr>
          <w:sz w:val="22"/>
          <w:szCs w:val="22"/>
        </w:rPr>
        <w:t>Anexo IV – Termo de Execução Cultural;</w:t>
      </w:r>
    </w:p>
    <w:p w14:paraId="7E3E2EBE">
      <w:pPr>
        <w:pStyle w:val="10"/>
        <w:spacing w:before="0" w:after="0" w:line="360" w:lineRule="auto"/>
        <w:jc w:val="both"/>
        <w:rPr>
          <w:sz w:val="22"/>
          <w:szCs w:val="22"/>
        </w:rPr>
      </w:pPr>
      <w:r>
        <w:rPr>
          <w:sz w:val="22"/>
          <w:szCs w:val="22"/>
        </w:rPr>
        <w:t>Anexo V – Relatório de Execução do Objeto;</w:t>
      </w:r>
    </w:p>
    <w:p w14:paraId="799139A4">
      <w:pPr>
        <w:pStyle w:val="10"/>
        <w:spacing w:before="0" w:after="0" w:line="360" w:lineRule="auto"/>
        <w:jc w:val="both"/>
        <w:rPr>
          <w:sz w:val="22"/>
          <w:szCs w:val="22"/>
        </w:rPr>
      </w:pPr>
      <w:r>
        <w:rPr>
          <w:sz w:val="22"/>
          <w:szCs w:val="22"/>
        </w:rPr>
        <w:t>Anexo VI – Declaração de representação de grupo ou coletivo;</w:t>
      </w:r>
    </w:p>
    <w:p w14:paraId="39AD35C9">
      <w:pPr>
        <w:pStyle w:val="10"/>
        <w:spacing w:before="0" w:after="0" w:line="360" w:lineRule="auto"/>
        <w:jc w:val="both"/>
        <w:rPr>
          <w:sz w:val="22"/>
          <w:szCs w:val="22"/>
        </w:rPr>
      </w:pPr>
      <w:r>
        <w:rPr>
          <w:sz w:val="22"/>
          <w:szCs w:val="22"/>
        </w:rPr>
        <w:t>Anexo VII – Autodeclaração étnico-racial;</w:t>
      </w:r>
    </w:p>
    <w:p w14:paraId="0CDF33F0">
      <w:pPr>
        <w:pStyle w:val="10"/>
        <w:spacing w:before="0" w:after="0" w:line="360" w:lineRule="auto"/>
        <w:jc w:val="both"/>
        <w:rPr>
          <w:sz w:val="22"/>
          <w:szCs w:val="22"/>
        </w:rPr>
      </w:pPr>
      <w:r>
        <w:rPr>
          <w:sz w:val="22"/>
          <w:szCs w:val="22"/>
        </w:rPr>
        <w:t>Anexo VIII – Autodeclaração de pessoa com deficiência;</w:t>
      </w:r>
    </w:p>
    <w:p w14:paraId="244F8B71">
      <w:pPr>
        <w:pStyle w:val="10"/>
        <w:spacing w:before="0" w:after="0" w:line="360" w:lineRule="auto"/>
        <w:jc w:val="both"/>
        <w:rPr>
          <w:sz w:val="22"/>
          <w:szCs w:val="22"/>
        </w:rPr>
      </w:pPr>
      <w:r>
        <w:rPr>
          <w:sz w:val="22"/>
          <w:szCs w:val="22"/>
        </w:rPr>
        <w:t>Anexo IX – Formulário de interposição de recurso;</w:t>
      </w:r>
    </w:p>
    <w:p w14:paraId="507EF61D">
      <w:pPr>
        <w:pStyle w:val="10"/>
        <w:spacing w:before="0" w:after="0" w:line="360" w:lineRule="auto"/>
        <w:jc w:val="both"/>
        <w:rPr>
          <w:sz w:val="22"/>
          <w:szCs w:val="22"/>
        </w:rPr>
      </w:pPr>
      <w:r>
        <w:rPr>
          <w:sz w:val="22"/>
          <w:szCs w:val="22"/>
        </w:rPr>
        <w:t>Anexo X – Autodeclaração de residência.</w:t>
      </w:r>
    </w:p>
    <w:p w14:paraId="0E7966A4">
      <w:pPr>
        <w:pStyle w:val="10"/>
        <w:spacing w:before="0" w:after="0" w:line="360" w:lineRule="auto"/>
        <w:jc w:val="both"/>
        <w:rPr>
          <w:sz w:val="22"/>
          <w:szCs w:val="22"/>
        </w:rPr>
      </w:pPr>
    </w:p>
    <w:p w14:paraId="191E9C1D">
      <w:pPr>
        <w:pStyle w:val="10"/>
        <w:spacing w:before="0" w:after="0" w:line="360" w:lineRule="auto"/>
        <w:jc w:val="both"/>
        <w:rPr>
          <w:sz w:val="22"/>
          <w:szCs w:val="22"/>
        </w:rPr>
      </w:pPr>
    </w:p>
    <w:p w14:paraId="77CE5C23">
      <w:pPr>
        <w:pStyle w:val="10"/>
        <w:spacing w:before="0" w:after="0"/>
        <w:jc w:val="center"/>
        <w:rPr>
          <w:sz w:val="22"/>
          <w:szCs w:val="22"/>
        </w:rPr>
      </w:pPr>
      <w:r>
        <w:rPr>
          <w:sz w:val="22"/>
          <w:szCs w:val="22"/>
        </w:rPr>
        <w:t>Silvianópolis/MG, 25 de maio de 2026.</w:t>
      </w:r>
    </w:p>
    <w:p w14:paraId="34FF6ACE">
      <w:pPr>
        <w:pStyle w:val="10"/>
        <w:spacing w:before="0" w:after="0"/>
        <w:jc w:val="center"/>
        <w:rPr>
          <w:sz w:val="18"/>
          <w:szCs w:val="18"/>
        </w:rPr>
      </w:pPr>
      <w:r>
        <w:rPr>
          <w:sz w:val="18"/>
          <w:szCs w:val="18"/>
        </w:rPr>
        <w:t>Prefeitura Municipal de Silvianópolis/MG</w:t>
      </w:r>
    </w:p>
    <w:p w14:paraId="3B4FEE95">
      <w:pPr>
        <w:pStyle w:val="10"/>
        <w:spacing w:before="0" w:after="0"/>
        <w:jc w:val="center"/>
        <w:rPr>
          <w:rFonts w:hint="default"/>
          <w:sz w:val="18"/>
          <w:szCs w:val="18"/>
          <w:lang w:val="pt-BR"/>
        </w:rPr>
      </w:pPr>
      <w:r>
        <w:rPr>
          <w:sz w:val="18"/>
          <w:szCs w:val="18"/>
        </w:rPr>
        <w:t>Secretaria Municipal de Cultura</w:t>
      </w:r>
      <w:r>
        <w:rPr>
          <w:rFonts w:hint="default"/>
          <w:sz w:val="18"/>
          <w:szCs w:val="18"/>
          <w:lang w:val="pt-BR"/>
        </w:rPr>
        <w:t>, Esporte, Lazer e Turismo</w:t>
      </w:r>
    </w:p>
    <w:p w14:paraId="290E80A4">
      <w:pPr>
        <w:spacing w:after="0" w:line="360" w:lineRule="auto"/>
        <w:jc w:val="center"/>
        <w:rPr>
          <w:rFonts w:ascii="Times New Roman" w:hAnsi="Times New Roman" w:cs="Times New Roman"/>
        </w:rPr>
      </w:pPr>
    </w:p>
    <w:p w14:paraId="03489D22">
      <w:pPr>
        <w:spacing w:after="0" w:line="360" w:lineRule="auto"/>
        <w:jc w:val="center"/>
        <w:rPr>
          <w:rFonts w:ascii="Times New Roman" w:hAnsi="Times New Roman" w:cs="Times New Roman"/>
          <w:sz w:val="24"/>
          <w:szCs w:val="24"/>
        </w:rPr>
      </w:pPr>
    </w:p>
    <w:sectPr>
      <w:headerReference r:id="rId5" w:type="default"/>
      <w:footerReference r:id="rId6" w:type="default"/>
      <w:pgSz w:w="11906" w:h="16838"/>
      <w:pgMar w:top="1417" w:right="1133" w:bottom="1417" w:left="1418"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17D51">
    <w:pPr>
      <w:pStyle w:val="5"/>
    </w:pPr>
    <w:r>
      <w:drawing>
        <wp:anchor distT="0" distB="0" distL="114300" distR="114300" simplePos="0" relativeHeight="251661312" behindDoc="0" locked="0" layoutInCell="1" allowOverlap="1">
          <wp:simplePos x="0" y="0"/>
          <wp:positionH relativeFrom="margin">
            <wp:posOffset>866775</wp:posOffset>
          </wp:positionH>
          <wp:positionV relativeFrom="paragraph">
            <wp:posOffset>-5715</wp:posOffset>
          </wp:positionV>
          <wp:extent cx="985520" cy="333375"/>
          <wp:effectExtent l="0" t="0" r="0"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extLst>
                      <a:ext uri="{28A0092B-C50C-407E-A947-70E740481C1C}">
                        <a14:useLocalDpi xmlns:a14="http://schemas.microsoft.com/office/drawing/2010/main" val="0"/>
                      </a:ext>
                    </a:extLst>
                  </a:blip>
                  <a:srcRect l="1603" t="31106" r="-1603" b="35054"/>
                  <a:stretch>
                    <a:fillRect/>
                  </a:stretch>
                </pic:blipFill>
                <pic:spPr>
                  <a:xfrm>
                    <a:off x="0" y="0"/>
                    <a:ext cx="985520" cy="333375"/>
                  </a:xfrm>
                  <a:prstGeom prst="rect">
                    <a:avLst/>
                  </a:prstGeom>
                  <a:ln>
                    <a:noFill/>
                  </a:ln>
                </pic:spPr>
              </pic:pic>
            </a:graphicData>
          </a:graphic>
        </wp:anchor>
      </w:drawing>
    </w:r>
    <w:r>
      <w:drawing>
        <wp:anchor distT="0" distB="0" distL="114300" distR="114300" simplePos="0" relativeHeight="251662336" behindDoc="0" locked="0" layoutInCell="1" allowOverlap="1">
          <wp:simplePos x="0" y="0"/>
          <wp:positionH relativeFrom="column">
            <wp:posOffset>-176530</wp:posOffset>
          </wp:positionH>
          <wp:positionV relativeFrom="paragraph">
            <wp:posOffset>-21590</wp:posOffset>
          </wp:positionV>
          <wp:extent cx="962025" cy="35179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968389" cy="353834"/>
                  </a:xfrm>
                  <a:prstGeom prst="rect">
                    <a:avLst/>
                  </a:prstGeom>
                  <a:noFill/>
                  <a:ln>
                    <a:noFill/>
                  </a:ln>
                </pic:spPr>
              </pic:pic>
            </a:graphicData>
          </a:graphic>
        </wp:anchor>
      </w:drawing>
    </w:r>
    <w:r>
      <w:drawing>
        <wp:anchor distT="0" distB="0" distL="114300" distR="114300" simplePos="0" relativeHeight="251660288" behindDoc="1" locked="0" layoutInCell="1" allowOverlap="1">
          <wp:simplePos x="0" y="0"/>
          <wp:positionH relativeFrom="column">
            <wp:posOffset>3469640</wp:posOffset>
          </wp:positionH>
          <wp:positionV relativeFrom="page">
            <wp:posOffset>9925050</wp:posOffset>
          </wp:positionV>
          <wp:extent cx="2811145" cy="581025"/>
          <wp:effectExtent l="0" t="0" r="0" b="0"/>
          <wp:wrapTopAndBottom/>
          <wp:docPr id="287168643" name="Imagem 1" descr="Uma imagem contendo Interface gráfica do usuári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168643" name="Imagem 1" descr="Uma imagem contendo Interface gráfica do usuário&#10;&#10;O conteúdo gerado por IA pode estar incorreto."/>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811145" cy="581025"/>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660E7">
    <w:pPr>
      <w:pStyle w:val="4"/>
    </w:pPr>
    <w:r>
      <w:drawing>
        <wp:anchor distT="0" distB="0" distL="114300" distR="114300" simplePos="0" relativeHeight="251659264" behindDoc="0" locked="0" layoutInCell="1" allowOverlap="1">
          <wp:simplePos x="0" y="0"/>
          <wp:positionH relativeFrom="margin">
            <wp:posOffset>1933575</wp:posOffset>
          </wp:positionH>
          <wp:positionV relativeFrom="paragraph">
            <wp:posOffset>83185</wp:posOffset>
          </wp:positionV>
          <wp:extent cx="1714500" cy="354330"/>
          <wp:effectExtent l="0" t="0" r="0" b="7620"/>
          <wp:wrapTopAndBottom/>
          <wp:docPr id="200220770" name="Imagem 2"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20770" name="Imagem 2" descr="Logotipo&#10;&#10;O conteúdo gerado por IA pode estar incorreto."/>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14500" cy="354330"/>
                  </a:xfrm>
                  <a:prstGeom prst="rect">
                    <a:avLst/>
                  </a:prstGeom>
                </pic:spPr>
              </pic:pic>
            </a:graphicData>
          </a:graphic>
        </wp:anchor>
      </w:drawing>
    </w:r>
  </w:p>
  <w:p w14:paraId="4C794925">
    <w:pPr>
      <w:pStyle w:val="4"/>
    </w:pPr>
    <w:r>
      <w:t>____________________________________________________________________________________</w:t>
    </w:r>
  </w:p>
  <w:p w14:paraId="41606FF0">
    <w:pPr>
      <w:pStyle w:val="4"/>
    </w:pPr>
  </w:p>
  <w:p w14:paraId="7F5043DE">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A54"/>
    <w:rsid w:val="000535E7"/>
    <w:rsid w:val="00056D57"/>
    <w:rsid w:val="001905FB"/>
    <w:rsid w:val="00196095"/>
    <w:rsid w:val="001B61B2"/>
    <w:rsid w:val="00213F26"/>
    <w:rsid w:val="00215318"/>
    <w:rsid w:val="00306A54"/>
    <w:rsid w:val="003130E2"/>
    <w:rsid w:val="00355681"/>
    <w:rsid w:val="003D531B"/>
    <w:rsid w:val="004762FE"/>
    <w:rsid w:val="004B4C91"/>
    <w:rsid w:val="004D4237"/>
    <w:rsid w:val="004E5376"/>
    <w:rsid w:val="005761F6"/>
    <w:rsid w:val="0059150A"/>
    <w:rsid w:val="006775DF"/>
    <w:rsid w:val="0074538B"/>
    <w:rsid w:val="00986D50"/>
    <w:rsid w:val="00A71205"/>
    <w:rsid w:val="00A90DCC"/>
    <w:rsid w:val="00AE2295"/>
    <w:rsid w:val="00BB2FFB"/>
    <w:rsid w:val="00BD017E"/>
    <w:rsid w:val="00BD49FD"/>
    <w:rsid w:val="00D608CA"/>
    <w:rsid w:val="00ED548E"/>
    <w:rsid w:val="00F23A08"/>
    <w:rsid w:val="00FE1670"/>
    <w:rsid w:val="00FE3325"/>
    <w:rsid w:val="057F1C4D"/>
    <w:rsid w:val="377303C0"/>
    <w:rsid w:val="575836B5"/>
    <w:rsid w:val="603E210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pt-BR" w:eastAsia="en-US"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header"/>
    <w:basedOn w:val="1"/>
    <w:link w:val="7"/>
    <w:unhideWhenUsed/>
    <w:qFormat/>
    <w:uiPriority w:val="99"/>
    <w:pPr>
      <w:tabs>
        <w:tab w:val="center" w:pos="4252"/>
        <w:tab w:val="right" w:pos="8504"/>
      </w:tabs>
      <w:spacing w:after="0" w:line="240" w:lineRule="auto"/>
    </w:pPr>
  </w:style>
  <w:style w:type="paragraph" w:styleId="5">
    <w:name w:val="footer"/>
    <w:basedOn w:val="1"/>
    <w:link w:val="8"/>
    <w:unhideWhenUsed/>
    <w:qFormat/>
    <w:uiPriority w:val="99"/>
    <w:pPr>
      <w:tabs>
        <w:tab w:val="center" w:pos="4252"/>
        <w:tab w:val="right" w:pos="8504"/>
      </w:tabs>
      <w:spacing w:after="0" w:line="240" w:lineRule="auto"/>
    </w:pPr>
  </w:style>
  <w:style w:type="paragraph" w:styleId="6">
    <w:name w:val="List Paragraph"/>
    <w:basedOn w:val="1"/>
    <w:qFormat/>
    <w:uiPriority w:val="34"/>
    <w:pPr>
      <w:ind w:left="720"/>
      <w:contextualSpacing/>
    </w:pPr>
  </w:style>
  <w:style w:type="character" w:customStyle="1" w:styleId="7">
    <w:name w:val="Cabeçalho Char"/>
    <w:basedOn w:val="2"/>
    <w:link w:val="4"/>
    <w:qFormat/>
    <w:uiPriority w:val="99"/>
  </w:style>
  <w:style w:type="character" w:customStyle="1" w:styleId="8">
    <w:name w:val="Rodapé Char"/>
    <w:basedOn w:val="2"/>
    <w:link w:val="5"/>
    <w:qFormat/>
    <w:uiPriority w:val="99"/>
  </w:style>
  <w:style w:type="paragraph" w:customStyle="1" w:styleId="9">
    <w:name w:val="MdSpace"/>
    <w:qFormat/>
    <w:uiPriority w:val="0"/>
    <w:pPr>
      <w:spacing w:after="0" w:line="240" w:lineRule="auto"/>
    </w:pPr>
    <w:rPr>
      <w:rFonts w:ascii="Times New Roman" w:hAnsi="Times New Roman" w:eastAsia="Times New Roman" w:cs="Times New Roman"/>
      <w:kern w:val="0"/>
      <w:sz w:val="12"/>
      <w:szCs w:val="12"/>
      <w:lang w:val="pt-BR" w:eastAsia="pt-BR" w:bidi="ar-SA"/>
      <w14:ligatures w14:val="none"/>
    </w:rPr>
  </w:style>
  <w:style w:type="paragraph" w:customStyle="1" w:styleId="10">
    <w:name w:val="MdParagraph"/>
    <w:qFormat/>
    <w:uiPriority w:val="0"/>
    <w:pPr>
      <w:spacing w:before="120" w:after="120" w:line="240" w:lineRule="auto"/>
    </w:pPr>
    <w:rPr>
      <w:rFonts w:ascii="Times New Roman" w:hAnsi="Times New Roman" w:eastAsia="Times New Roman" w:cs="Times New Roman"/>
      <w:kern w:val="0"/>
      <w:sz w:val="24"/>
      <w:szCs w:val="24"/>
      <w:lang w:val="pt-BR" w:eastAsia="pt-BR" w:bidi="ar-SA"/>
      <w14:ligatures w14:val="none"/>
    </w:rPr>
  </w:style>
  <w:style w:type="paragraph" w:customStyle="1" w:styleId="11">
    <w:name w:val="MdTableHeader"/>
    <w:qFormat/>
    <w:uiPriority w:val="0"/>
    <w:pPr>
      <w:spacing w:before="60" w:after="60" w:line="240" w:lineRule="auto"/>
    </w:pPr>
    <w:rPr>
      <w:rFonts w:ascii="Times New Roman" w:hAnsi="Times New Roman" w:eastAsia="Times New Roman" w:cs="Times New Roman"/>
      <w:b/>
      <w:bCs/>
      <w:kern w:val="0"/>
      <w:sz w:val="22"/>
      <w:szCs w:val="22"/>
      <w:lang w:val="pt-BR" w:eastAsia="pt-BR" w:bidi="ar-SA"/>
      <w14:ligatures w14:val="none"/>
    </w:rPr>
  </w:style>
  <w:style w:type="paragraph" w:customStyle="1" w:styleId="12">
    <w:name w:val="MdTableCell"/>
    <w:qFormat/>
    <w:uiPriority w:val="0"/>
    <w:pPr>
      <w:spacing w:before="40" w:after="40" w:line="240" w:lineRule="auto"/>
    </w:pPr>
    <w:rPr>
      <w:rFonts w:ascii="Times New Roman" w:hAnsi="Times New Roman" w:eastAsia="Times New Roman" w:cs="Times New Roman"/>
      <w:kern w:val="0"/>
      <w:sz w:val="20"/>
      <w:szCs w:val="20"/>
      <w:lang w:val="pt-BR" w:eastAsia="pt-BR" w:bidi="ar-SA"/>
      <w14:ligatures w14:val="none"/>
    </w:rPr>
  </w:style>
  <w:style w:type="paragraph" w:customStyle="1" w:styleId="13">
    <w:name w:val="MdHeading1"/>
    <w:qFormat/>
    <w:uiPriority w:val="0"/>
    <w:pPr>
      <w:keepNext/>
      <w:spacing w:before="480" w:after="240" w:line="240" w:lineRule="auto"/>
      <w:outlineLvl w:val="0"/>
    </w:pPr>
    <w:rPr>
      <w:rFonts w:ascii="Times New Roman" w:hAnsi="Times New Roman" w:eastAsia="Times New Roman" w:cs="Times New Roman"/>
      <w:b/>
      <w:bCs/>
      <w:kern w:val="0"/>
      <w:sz w:val="36"/>
      <w:szCs w:val="36"/>
      <w:lang w:val="pt-BR" w:eastAsia="pt-BR" w:bidi="ar-SA"/>
      <w14:ligatures w14:val="none"/>
    </w:rPr>
  </w:style>
  <w:style w:type="paragraph" w:customStyle="1" w:styleId="14">
    <w:name w:val="MdHeading2"/>
    <w:qFormat/>
    <w:uiPriority w:val="0"/>
    <w:pPr>
      <w:keepNext/>
      <w:spacing w:before="400" w:after="200" w:line="240" w:lineRule="auto"/>
      <w:outlineLvl w:val="1"/>
    </w:pPr>
    <w:rPr>
      <w:rFonts w:ascii="Times New Roman" w:hAnsi="Times New Roman" w:eastAsia="Times New Roman" w:cs="Times New Roman"/>
      <w:b/>
      <w:bCs/>
      <w:kern w:val="0"/>
      <w:sz w:val="32"/>
      <w:szCs w:val="32"/>
      <w:lang w:val="pt-BR" w:eastAsia="pt-BR" w:bidi="ar-SA"/>
      <w14:ligatures w14:val="none"/>
    </w:rPr>
  </w:style>
  <w:style w:type="paragraph" w:customStyle="1" w:styleId="15">
    <w:name w:val="MdHeading3"/>
    <w:qFormat/>
    <w:uiPriority w:val="0"/>
    <w:pPr>
      <w:keepNext/>
      <w:spacing w:before="320" w:after="160" w:line="240" w:lineRule="auto"/>
      <w:outlineLvl w:val="2"/>
    </w:pPr>
    <w:rPr>
      <w:rFonts w:ascii="Times New Roman" w:hAnsi="Times New Roman" w:eastAsia="Times New Roman" w:cs="Times New Roman"/>
      <w:b/>
      <w:bCs/>
      <w:kern w:val="0"/>
      <w:sz w:val="28"/>
      <w:szCs w:val="28"/>
      <w:lang w:val="pt-BR" w:eastAsia="pt-BR" w:bidi="ar-SA"/>
      <w14:ligatures w14:val="none"/>
    </w:rPr>
  </w:style>
  <w:style w:type="paragraph" w:customStyle="1" w:styleId="16">
    <w:name w:val="MdHeading4"/>
    <w:qFormat/>
    <w:uiPriority w:val="0"/>
    <w:pPr>
      <w:keepNext/>
      <w:spacing w:before="280" w:after="140" w:line="240" w:lineRule="auto"/>
      <w:outlineLvl w:val="3"/>
    </w:pPr>
    <w:rPr>
      <w:rFonts w:ascii="Times New Roman" w:hAnsi="Times New Roman" w:eastAsia="Times New Roman" w:cs="Times New Roman"/>
      <w:b/>
      <w:bCs/>
      <w:kern w:val="0"/>
      <w:sz w:val="26"/>
      <w:szCs w:val="26"/>
      <w:lang w:val="pt-BR" w:eastAsia="pt-BR" w:bidi="ar-SA"/>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5430</Words>
  <Characters>33220</Characters>
  <Lines>272</Lines>
  <Paragraphs>77</Paragraphs>
  <TotalTime>466</TotalTime>
  <ScaleCrop>false</ScaleCrop>
  <LinksUpToDate>false</LinksUpToDate>
  <CharactersWithSpaces>38338</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2026-04-23T00:44:00Z</dcterms:created>
  <dc:creator>Uillian Santiago</dc:creator>
  <cp:lastModifiedBy>Ivanna Rodrigues</cp:lastModifiedBy>
  <dcterms:modified xsi:type="dcterms:W3CDTF">2026-05-18T19:43:33Z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eyJoZGlkIjoiZTJhZWE4Y2NjMjc5YjEzNzgyMDJjNDlmYmNlNDcwZTciLCJ1c2VySWQiOiIxMjU0NzU3MTUzNzE2In0=</vt:lpwstr>
  </property>
  <property fmtid="{D5CDD505-2E9C-101B-9397-08002B2CF9AE}" pid="3" name="KSOProductBuildVer">
    <vt:lpwstr>1046-12.1.0.25862</vt:lpwstr>
  </property>
  <property fmtid="{D5CDD505-2E9C-101B-9397-08002B2CF9AE}" pid="4" name="ICV">
    <vt:lpwstr>275B0237DA324241AEC0A0C9A0A5AC57_13</vt:lpwstr>
  </property>
</Properties>
</file>